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5E607" w14:textId="77777777" w:rsidR="006B65BD" w:rsidRPr="006B65BD" w:rsidRDefault="006B65BD" w:rsidP="006B65BD">
      <w:pPr>
        <w:pBdr>
          <w:top w:val="single" w:sz="18" w:space="1" w:color="auto"/>
          <w:left w:val="single" w:sz="18" w:space="4" w:color="auto"/>
          <w:bottom w:val="single" w:sz="18" w:space="1" w:color="auto"/>
          <w:right w:val="single" w:sz="18" w:space="4" w:color="auto"/>
        </w:pBdr>
        <w:shd w:val="clear" w:color="auto" w:fill="D9D9D9"/>
        <w:spacing w:after="0" w:line="240" w:lineRule="auto"/>
        <w:jc w:val="center"/>
        <w:rPr>
          <w:rFonts w:asciiTheme="minorHAnsi" w:eastAsia="Times New Roman" w:hAnsiTheme="minorHAnsi" w:cstheme="minorHAnsi"/>
          <w:b/>
          <w:sz w:val="32"/>
          <w:szCs w:val="32"/>
        </w:rPr>
      </w:pPr>
      <w:bookmarkStart w:id="0" w:name="_GoBack"/>
      <w:bookmarkEnd w:id="0"/>
      <w:r w:rsidRPr="006B65BD">
        <w:rPr>
          <w:rFonts w:asciiTheme="minorHAnsi" w:eastAsia="Times New Roman" w:hAnsiTheme="minorHAnsi" w:cstheme="minorHAnsi"/>
          <w:b/>
          <w:sz w:val="32"/>
          <w:szCs w:val="32"/>
        </w:rPr>
        <w:t>INTRODUCTION</w:t>
      </w:r>
    </w:p>
    <w:p w14:paraId="49F1EC62" w14:textId="77777777" w:rsidR="006B65BD" w:rsidRDefault="006B65BD" w:rsidP="004D614A">
      <w:pPr>
        <w:spacing w:after="0" w:line="240" w:lineRule="auto"/>
        <w:rPr>
          <w:rFonts w:asciiTheme="minorHAnsi" w:eastAsia="Times New Roman" w:hAnsiTheme="minorHAnsi" w:cstheme="minorHAnsi"/>
          <w:sz w:val="24"/>
          <w:szCs w:val="24"/>
        </w:rPr>
      </w:pPr>
    </w:p>
    <w:p w14:paraId="1983397B" w14:textId="77777777" w:rsidR="004038D2" w:rsidRPr="006B65BD" w:rsidRDefault="004038D2" w:rsidP="004D614A">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The City of Austin</w:t>
      </w:r>
      <w:r w:rsidR="0036713C" w:rsidRPr="006B65BD">
        <w:rPr>
          <w:rFonts w:asciiTheme="minorHAnsi" w:eastAsia="Times New Roman" w:hAnsiTheme="minorHAnsi" w:cstheme="minorHAnsi"/>
          <w:sz w:val="24"/>
          <w:szCs w:val="24"/>
        </w:rPr>
        <w:t>, Austin Public Health</w:t>
      </w:r>
      <w:r w:rsidRPr="006B65BD">
        <w:rPr>
          <w:rFonts w:asciiTheme="minorHAnsi" w:eastAsia="Times New Roman" w:hAnsiTheme="minorHAnsi" w:cstheme="minorHAnsi"/>
          <w:sz w:val="24"/>
          <w:szCs w:val="24"/>
        </w:rPr>
        <w:t xml:space="preserve"> </w:t>
      </w:r>
      <w:r w:rsidR="0036713C" w:rsidRPr="006B65BD">
        <w:rPr>
          <w:rFonts w:asciiTheme="minorHAnsi" w:eastAsia="Times New Roman" w:hAnsiTheme="minorHAnsi" w:cstheme="minorHAnsi"/>
          <w:sz w:val="24"/>
          <w:szCs w:val="24"/>
        </w:rPr>
        <w:t xml:space="preserve">Department </w:t>
      </w:r>
      <w:r w:rsidR="0099250F" w:rsidRPr="006B65BD">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City</w:t>
      </w:r>
      <w:r w:rsidR="0099250F" w:rsidRPr="006B65BD">
        <w:rPr>
          <w:rFonts w:asciiTheme="minorHAnsi" w:eastAsia="Times New Roman" w:hAnsiTheme="minorHAnsi" w:cstheme="minorHAnsi"/>
          <w:sz w:val="24"/>
          <w:szCs w:val="24"/>
        </w:rPr>
        <w:t>” OR “APH”]</w:t>
      </w:r>
      <w:r w:rsidRPr="006B65BD">
        <w:rPr>
          <w:rFonts w:asciiTheme="minorHAnsi" w:eastAsia="Times New Roman" w:hAnsiTheme="minorHAnsi" w:cstheme="minorHAnsi"/>
          <w:sz w:val="24"/>
          <w:szCs w:val="24"/>
        </w:rPr>
        <w:t xml:space="preserve"> seeks response</w:t>
      </w:r>
      <w:r w:rsidR="0036713C" w:rsidRPr="006B65BD">
        <w:rPr>
          <w:rFonts w:asciiTheme="minorHAnsi" w:eastAsia="Times New Roman" w:hAnsiTheme="minorHAnsi" w:cstheme="minorHAnsi"/>
          <w:sz w:val="24"/>
          <w:szCs w:val="24"/>
        </w:rPr>
        <w:t>s</w:t>
      </w:r>
      <w:r w:rsidRPr="006B65BD">
        <w:rPr>
          <w:rFonts w:asciiTheme="minorHAnsi" w:eastAsia="Times New Roman" w:hAnsiTheme="minorHAnsi" w:cstheme="minorHAnsi"/>
          <w:sz w:val="24"/>
          <w:szCs w:val="24"/>
        </w:rPr>
        <w:t xml:space="preserve"> to this Request for </w:t>
      </w:r>
      <w:r w:rsidR="0036713C" w:rsidRPr="006B65BD">
        <w:rPr>
          <w:rFonts w:asciiTheme="minorHAnsi" w:eastAsia="Times New Roman" w:hAnsiTheme="minorHAnsi" w:cstheme="minorHAnsi"/>
          <w:sz w:val="24"/>
          <w:szCs w:val="24"/>
        </w:rPr>
        <w:t xml:space="preserve">Applications </w:t>
      </w:r>
      <w:r w:rsidRPr="006B65BD">
        <w:rPr>
          <w:rFonts w:asciiTheme="minorHAnsi" w:eastAsia="Times New Roman" w:hAnsiTheme="minorHAnsi" w:cstheme="minorHAnsi"/>
          <w:sz w:val="24"/>
          <w:szCs w:val="24"/>
        </w:rPr>
        <w:t>(RF</w:t>
      </w:r>
      <w:r w:rsidR="0036713C" w:rsidRPr="006B65BD">
        <w:rPr>
          <w:rFonts w:asciiTheme="minorHAnsi" w:eastAsia="Times New Roman" w:hAnsiTheme="minorHAnsi" w:cstheme="minorHAnsi"/>
          <w:sz w:val="24"/>
          <w:szCs w:val="24"/>
        </w:rPr>
        <w:t>A</w:t>
      </w:r>
      <w:r w:rsidRPr="006B65BD">
        <w:rPr>
          <w:rFonts w:asciiTheme="minorHAnsi" w:eastAsia="Times New Roman" w:hAnsiTheme="minorHAnsi" w:cstheme="minorHAnsi"/>
          <w:sz w:val="24"/>
          <w:szCs w:val="24"/>
        </w:rPr>
        <w:t>) from qualified entit</w:t>
      </w:r>
      <w:r w:rsidR="0036713C" w:rsidRPr="006B65BD">
        <w:rPr>
          <w:rFonts w:asciiTheme="minorHAnsi" w:eastAsia="Times New Roman" w:hAnsiTheme="minorHAnsi" w:cstheme="minorHAnsi"/>
          <w:sz w:val="24"/>
          <w:szCs w:val="24"/>
        </w:rPr>
        <w:t>ies</w:t>
      </w:r>
      <w:r w:rsidRPr="006B65BD">
        <w:rPr>
          <w:rFonts w:asciiTheme="minorHAnsi" w:eastAsia="Times New Roman" w:hAnsiTheme="minorHAnsi" w:cstheme="minorHAnsi"/>
          <w:sz w:val="24"/>
          <w:szCs w:val="24"/>
        </w:rPr>
        <w:t xml:space="preserve"> </w:t>
      </w:r>
      <w:r w:rsidR="0099250F" w:rsidRPr="006B65BD">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Applicant</w:t>
      </w:r>
      <w:r w:rsidR="0099250F" w:rsidRPr="006B65BD">
        <w:rPr>
          <w:rFonts w:asciiTheme="minorHAnsi" w:eastAsia="Times New Roman" w:hAnsiTheme="minorHAnsi" w:cstheme="minorHAnsi"/>
          <w:sz w:val="24"/>
          <w:szCs w:val="24"/>
        </w:rPr>
        <w:t>(</w:t>
      </w:r>
      <w:r w:rsidR="0036713C" w:rsidRPr="006B65BD">
        <w:rPr>
          <w:rFonts w:asciiTheme="minorHAnsi" w:eastAsia="Times New Roman" w:hAnsiTheme="minorHAnsi" w:cstheme="minorHAnsi"/>
          <w:sz w:val="24"/>
          <w:szCs w:val="24"/>
        </w:rPr>
        <w:t>s</w:t>
      </w:r>
      <w:r w:rsidRPr="006B65BD">
        <w:rPr>
          <w:rFonts w:asciiTheme="minorHAnsi" w:eastAsia="Times New Roman" w:hAnsiTheme="minorHAnsi" w:cstheme="minorHAnsi"/>
          <w:sz w:val="24"/>
          <w:szCs w:val="24"/>
        </w:rPr>
        <w:t>)</w:t>
      </w:r>
      <w:r w:rsidR="0099250F" w:rsidRPr="006B65BD">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 xml:space="preserve"> to provide </w:t>
      </w:r>
      <w:r w:rsidR="0036713C" w:rsidRPr="006B65BD">
        <w:rPr>
          <w:rFonts w:asciiTheme="minorHAnsi" w:eastAsia="Times New Roman" w:hAnsiTheme="minorHAnsi" w:cstheme="minorHAnsi"/>
          <w:sz w:val="24"/>
          <w:szCs w:val="24"/>
        </w:rPr>
        <w:t>services to Persons Living With HIV (PLWH)</w:t>
      </w:r>
      <w:r w:rsidR="0099250F" w:rsidRPr="006B65BD">
        <w:rPr>
          <w:rFonts w:asciiTheme="minorHAnsi" w:eastAsia="Times New Roman" w:hAnsiTheme="minorHAnsi" w:cstheme="minorHAnsi"/>
          <w:sz w:val="24"/>
          <w:szCs w:val="24"/>
        </w:rPr>
        <w:t xml:space="preserve"> and, within restrictions, to certain targeted populations at increased risk of acquiring HIV</w:t>
      </w:r>
      <w:r w:rsidRPr="006B65BD">
        <w:rPr>
          <w:rFonts w:asciiTheme="minorHAnsi" w:eastAsia="Times New Roman" w:hAnsiTheme="minorHAnsi" w:cstheme="minorHAnsi"/>
          <w:sz w:val="24"/>
          <w:szCs w:val="24"/>
        </w:rPr>
        <w:t xml:space="preserve">.  Applications </w:t>
      </w:r>
      <w:r w:rsidR="0036713C" w:rsidRPr="006B65BD">
        <w:rPr>
          <w:rFonts w:asciiTheme="minorHAnsi" w:eastAsia="Times New Roman" w:hAnsiTheme="minorHAnsi" w:cstheme="minorHAnsi"/>
          <w:sz w:val="24"/>
          <w:szCs w:val="24"/>
        </w:rPr>
        <w:t>may</w:t>
      </w:r>
      <w:r w:rsidRPr="006B65BD">
        <w:rPr>
          <w:rFonts w:asciiTheme="minorHAnsi" w:eastAsia="Times New Roman" w:hAnsiTheme="minorHAnsi" w:cstheme="minorHAnsi"/>
          <w:sz w:val="24"/>
          <w:szCs w:val="24"/>
        </w:rPr>
        <w:t xml:space="preserve"> include proposals for </w:t>
      </w:r>
      <w:r w:rsidR="0036713C" w:rsidRPr="006B65BD">
        <w:rPr>
          <w:rFonts w:asciiTheme="minorHAnsi" w:eastAsia="Times New Roman" w:hAnsiTheme="minorHAnsi" w:cstheme="minorHAnsi"/>
          <w:sz w:val="24"/>
          <w:szCs w:val="24"/>
        </w:rPr>
        <w:t xml:space="preserve">implementing new service strategies or </w:t>
      </w:r>
      <w:r w:rsidRPr="006B65BD">
        <w:rPr>
          <w:rFonts w:asciiTheme="minorHAnsi" w:eastAsia="Times New Roman" w:hAnsiTheme="minorHAnsi" w:cstheme="minorHAnsi"/>
          <w:sz w:val="24"/>
          <w:szCs w:val="24"/>
        </w:rPr>
        <w:t>expanding existing services.</w:t>
      </w:r>
    </w:p>
    <w:p w14:paraId="5A40DECD" w14:textId="77777777" w:rsidR="00FE29EA" w:rsidRPr="006B65BD" w:rsidRDefault="00FE29EA" w:rsidP="00FE29EA">
      <w:pPr>
        <w:spacing w:after="0" w:line="240" w:lineRule="auto"/>
        <w:ind w:left="360"/>
        <w:jc w:val="both"/>
        <w:rPr>
          <w:rFonts w:asciiTheme="minorHAnsi" w:eastAsia="Times New Roman" w:hAnsiTheme="minorHAnsi" w:cstheme="minorHAnsi"/>
          <w:sz w:val="24"/>
          <w:szCs w:val="24"/>
        </w:rPr>
      </w:pPr>
    </w:p>
    <w:p w14:paraId="05B04461" w14:textId="15B31C36" w:rsidR="00FE29EA" w:rsidRPr="006B65BD" w:rsidRDefault="003212A3" w:rsidP="003212A3">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Applicants</w:t>
      </w:r>
      <w:r w:rsidR="00FE29EA" w:rsidRPr="006B65BD">
        <w:rPr>
          <w:rFonts w:asciiTheme="minorHAnsi" w:eastAsia="Times New Roman" w:hAnsiTheme="minorHAnsi" w:cstheme="minorHAnsi"/>
          <w:sz w:val="24"/>
          <w:szCs w:val="24"/>
        </w:rPr>
        <w:t xml:space="preserve"> </w:t>
      </w:r>
      <w:r w:rsidR="00DA05A8" w:rsidRPr="006B65BD">
        <w:rPr>
          <w:rFonts w:asciiTheme="minorHAnsi" w:eastAsia="Times New Roman" w:hAnsiTheme="minorHAnsi" w:cstheme="minorHAnsi"/>
          <w:sz w:val="24"/>
          <w:szCs w:val="24"/>
        </w:rPr>
        <w:t xml:space="preserve">may propose services for funding under this solicitation </w:t>
      </w:r>
      <w:r w:rsidR="00DA2F86" w:rsidRPr="006B65BD">
        <w:rPr>
          <w:rFonts w:asciiTheme="minorHAnsi" w:eastAsia="Times New Roman" w:hAnsiTheme="minorHAnsi" w:cstheme="minorHAnsi"/>
          <w:sz w:val="24"/>
          <w:szCs w:val="24"/>
        </w:rPr>
        <w:t xml:space="preserve">in </w:t>
      </w:r>
      <w:r w:rsidR="00DA05A8" w:rsidRPr="006B65BD">
        <w:rPr>
          <w:rFonts w:asciiTheme="minorHAnsi" w:eastAsia="Times New Roman" w:hAnsiTheme="minorHAnsi" w:cstheme="minorHAnsi"/>
          <w:sz w:val="24"/>
          <w:szCs w:val="24"/>
        </w:rPr>
        <w:t xml:space="preserve">only </w:t>
      </w:r>
      <w:r w:rsidR="00DA2F86" w:rsidRPr="006B65BD">
        <w:rPr>
          <w:rFonts w:asciiTheme="minorHAnsi" w:eastAsia="Times New Roman" w:hAnsiTheme="minorHAnsi" w:cstheme="minorHAnsi"/>
          <w:sz w:val="24"/>
          <w:szCs w:val="24"/>
        </w:rPr>
        <w:t>t</w:t>
      </w:r>
      <w:r w:rsidR="00DA05A8" w:rsidRPr="006B65BD">
        <w:rPr>
          <w:rFonts w:asciiTheme="minorHAnsi" w:eastAsia="Times New Roman" w:hAnsiTheme="minorHAnsi" w:cstheme="minorHAnsi"/>
          <w:sz w:val="24"/>
          <w:szCs w:val="24"/>
        </w:rPr>
        <w:t xml:space="preserve">he following </w:t>
      </w:r>
      <w:r w:rsidR="00DA2F86" w:rsidRPr="006B65BD">
        <w:rPr>
          <w:rFonts w:asciiTheme="minorHAnsi" w:eastAsia="Times New Roman" w:hAnsiTheme="minorHAnsi" w:cstheme="minorHAnsi"/>
          <w:sz w:val="24"/>
          <w:szCs w:val="24"/>
        </w:rPr>
        <w:t>Ryan White HIV/AIDS Program (</w:t>
      </w:r>
      <w:r w:rsidR="00DA05A8" w:rsidRPr="006B65BD">
        <w:rPr>
          <w:rFonts w:asciiTheme="minorHAnsi" w:eastAsia="Times New Roman" w:hAnsiTheme="minorHAnsi" w:cstheme="minorHAnsi"/>
          <w:sz w:val="24"/>
          <w:szCs w:val="24"/>
        </w:rPr>
        <w:t>RWHAP</w:t>
      </w:r>
      <w:r w:rsidR="00DA2F86" w:rsidRPr="006B65BD">
        <w:rPr>
          <w:rFonts w:asciiTheme="minorHAnsi" w:eastAsia="Times New Roman" w:hAnsiTheme="minorHAnsi" w:cstheme="minorHAnsi"/>
          <w:sz w:val="24"/>
          <w:szCs w:val="24"/>
        </w:rPr>
        <w:t>)</w:t>
      </w:r>
      <w:r w:rsidR="00DA05A8" w:rsidRPr="006B65BD">
        <w:rPr>
          <w:rFonts w:asciiTheme="minorHAnsi" w:eastAsia="Times New Roman" w:hAnsiTheme="minorHAnsi" w:cstheme="minorHAnsi"/>
          <w:sz w:val="24"/>
          <w:szCs w:val="24"/>
        </w:rPr>
        <w:t xml:space="preserve"> Service Categories</w:t>
      </w:r>
      <w:r w:rsidR="00DA2F86" w:rsidRPr="006B65BD">
        <w:rPr>
          <w:rFonts w:asciiTheme="minorHAnsi" w:eastAsia="Times New Roman" w:hAnsiTheme="minorHAnsi" w:cstheme="minorHAnsi"/>
          <w:sz w:val="24"/>
          <w:szCs w:val="24"/>
        </w:rPr>
        <w:t>:</w:t>
      </w:r>
    </w:p>
    <w:p w14:paraId="563BF1E9" w14:textId="77777777" w:rsidR="00DA05A8" w:rsidRPr="006B65BD" w:rsidRDefault="00DA05A8" w:rsidP="00FE29EA">
      <w:pPr>
        <w:spacing w:after="0" w:line="240" w:lineRule="auto"/>
        <w:ind w:left="360"/>
        <w:jc w:val="both"/>
        <w:rPr>
          <w:rFonts w:asciiTheme="minorHAnsi" w:eastAsia="Times New Roman" w:hAnsiTheme="minorHAnsi" w:cstheme="minorHAnsi"/>
          <w:sz w:val="24"/>
          <w:szCs w:val="24"/>
        </w:rPr>
      </w:pPr>
    </w:p>
    <w:p w14:paraId="54BC6C15" w14:textId="77777777" w:rsidR="00FE29EA" w:rsidRPr="006B65BD" w:rsidRDefault="00FE29EA" w:rsidP="00646198">
      <w:pPr>
        <w:numPr>
          <w:ilvl w:val="0"/>
          <w:numId w:val="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Early Intervention Services</w:t>
      </w:r>
      <w:r w:rsidR="00DA05A8" w:rsidRPr="006B65BD">
        <w:rPr>
          <w:rFonts w:asciiTheme="minorHAnsi" w:eastAsia="Times New Roman" w:hAnsiTheme="minorHAnsi" w:cstheme="minorHAnsi"/>
          <w:sz w:val="24"/>
          <w:szCs w:val="24"/>
        </w:rPr>
        <w:t xml:space="preserve"> (EIS)</w:t>
      </w:r>
    </w:p>
    <w:p w14:paraId="5B8B45CF" w14:textId="77777777" w:rsidR="00FE29EA" w:rsidRPr="006B65BD" w:rsidRDefault="00FE29EA" w:rsidP="00646198">
      <w:pPr>
        <w:numPr>
          <w:ilvl w:val="0"/>
          <w:numId w:val="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Housing Services</w:t>
      </w:r>
    </w:p>
    <w:p w14:paraId="0901EA6C" w14:textId="77777777" w:rsidR="00FE29EA" w:rsidRPr="006B65BD" w:rsidRDefault="00FE29EA" w:rsidP="00646198">
      <w:pPr>
        <w:numPr>
          <w:ilvl w:val="0"/>
          <w:numId w:val="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Medical Case Management</w:t>
      </w:r>
      <w:r w:rsidR="00DA05A8" w:rsidRPr="006B65BD">
        <w:rPr>
          <w:rFonts w:asciiTheme="minorHAnsi" w:eastAsia="Times New Roman" w:hAnsiTheme="minorHAnsi" w:cstheme="minorHAnsi"/>
          <w:sz w:val="24"/>
          <w:szCs w:val="24"/>
        </w:rPr>
        <w:t xml:space="preserve"> (MCM) Services</w:t>
      </w:r>
    </w:p>
    <w:p w14:paraId="298AEB01" w14:textId="77777777" w:rsidR="00FE29EA" w:rsidRPr="006B65BD" w:rsidRDefault="00FE29EA" w:rsidP="00646198">
      <w:pPr>
        <w:numPr>
          <w:ilvl w:val="0"/>
          <w:numId w:val="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Mental Health</w:t>
      </w:r>
      <w:r w:rsidR="00DA05A8" w:rsidRPr="006B65BD">
        <w:rPr>
          <w:rFonts w:asciiTheme="minorHAnsi" w:eastAsia="Times New Roman" w:hAnsiTheme="minorHAnsi" w:cstheme="minorHAnsi"/>
          <w:sz w:val="24"/>
          <w:szCs w:val="24"/>
        </w:rPr>
        <w:t xml:space="preserve"> Services</w:t>
      </w:r>
    </w:p>
    <w:p w14:paraId="516660ED" w14:textId="77777777" w:rsidR="00FE29EA" w:rsidRPr="006B65BD" w:rsidRDefault="00FE29EA" w:rsidP="00646198">
      <w:pPr>
        <w:numPr>
          <w:ilvl w:val="0"/>
          <w:numId w:val="6"/>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Non-Medical Case Management</w:t>
      </w:r>
      <w:r w:rsidR="00DA05A8" w:rsidRPr="006B65BD">
        <w:rPr>
          <w:rFonts w:asciiTheme="minorHAnsi" w:eastAsia="Times New Roman" w:hAnsiTheme="minorHAnsi" w:cstheme="minorHAnsi"/>
          <w:sz w:val="24"/>
          <w:szCs w:val="24"/>
        </w:rPr>
        <w:t xml:space="preserve"> (NMCM) Services</w:t>
      </w:r>
    </w:p>
    <w:p w14:paraId="5FA13C96" w14:textId="77777777" w:rsidR="004038D2" w:rsidRPr="006B65BD" w:rsidRDefault="004038D2" w:rsidP="00730340">
      <w:pPr>
        <w:spacing w:after="0" w:line="240" w:lineRule="auto"/>
        <w:jc w:val="both"/>
        <w:rPr>
          <w:rFonts w:asciiTheme="minorHAnsi" w:eastAsia="Times New Roman" w:hAnsiTheme="minorHAnsi" w:cstheme="minorHAnsi"/>
          <w:sz w:val="24"/>
          <w:szCs w:val="24"/>
        </w:rPr>
      </w:pPr>
    </w:p>
    <w:p w14:paraId="479E3430" w14:textId="6DEF65E0" w:rsidR="00DA2F86" w:rsidRPr="006B65BD" w:rsidRDefault="00DA2F86" w:rsidP="00835F6F">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Proposed services must meet the definitions of eligible services under Ryan White HIV/AIDS P</w:t>
      </w:r>
      <w:r w:rsidR="00A45765">
        <w:rPr>
          <w:rFonts w:asciiTheme="minorHAnsi" w:eastAsia="Times New Roman" w:hAnsiTheme="minorHAnsi" w:cstheme="minorHAnsi"/>
          <w:sz w:val="24"/>
          <w:szCs w:val="24"/>
        </w:rPr>
        <w:t>rogram (RWHAP) Service Categories</w:t>
      </w:r>
      <w:r w:rsidRPr="006B65BD">
        <w:rPr>
          <w:rFonts w:asciiTheme="minorHAnsi" w:eastAsia="Times New Roman" w:hAnsiTheme="minorHAnsi" w:cstheme="minorHAnsi"/>
          <w:sz w:val="24"/>
          <w:szCs w:val="24"/>
        </w:rPr>
        <w:t xml:space="preserve">, as defined in the </w:t>
      </w:r>
      <w:hyperlink r:id="rId8" w:history="1">
        <w:r w:rsidRPr="006B65BD">
          <w:rPr>
            <w:rStyle w:val="Hyperlink"/>
            <w:rFonts w:asciiTheme="minorHAnsi" w:eastAsia="Times New Roman" w:hAnsiTheme="minorHAnsi" w:cstheme="minorHAnsi"/>
            <w:sz w:val="24"/>
            <w:szCs w:val="24"/>
          </w:rPr>
          <w:t>RWHAP Policy Clarification Notice #16-02</w:t>
        </w:r>
      </w:hyperlink>
      <w:r w:rsidRPr="006B65BD">
        <w:rPr>
          <w:rFonts w:asciiTheme="minorHAnsi" w:eastAsia="Times New Roman" w:hAnsiTheme="minorHAnsi" w:cstheme="minorHAnsi"/>
          <w:sz w:val="24"/>
          <w:szCs w:val="24"/>
          <w:u w:val="single"/>
        </w:rPr>
        <w:t>.</w:t>
      </w:r>
      <w:r w:rsidRPr="006B65BD">
        <w:rPr>
          <w:rFonts w:asciiTheme="minorHAnsi" w:eastAsia="Times New Roman" w:hAnsiTheme="minorHAnsi" w:cstheme="minorHAnsi"/>
          <w:sz w:val="24"/>
          <w:szCs w:val="24"/>
        </w:rPr>
        <w:t xml:space="preserve">  Additional limitations and restrictions on services and activities may be described in this Scope of Work document.</w:t>
      </w:r>
    </w:p>
    <w:p w14:paraId="1B44EC48" w14:textId="77777777" w:rsidR="00DA2F86" w:rsidRPr="006B65BD" w:rsidRDefault="00DA2F86" w:rsidP="00835F6F">
      <w:pPr>
        <w:spacing w:after="0" w:line="240" w:lineRule="auto"/>
        <w:rPr>
          <w:rFonts w:asciiTheme="minorHAnsi" w:eastAsia="Times New Roman" w:hAnsiTheme="minorHAnsi" w:cstheme="minorHAnsi"/>
          <w:sz w:val="24"/>
          <w:szCs w:val="24"/>
        </w:rPr>
      </w:pPr>
    </w:p>
    <w:p w14:paraId="3E294DA3" w14:textId="7DB9CB51" w:rsidR="00DA72F8" w:rsidRPr="00050A09" w:rsidRDefault="00DA72F8" w:rsidP="00835F6F">
      <w:pPr>
        <w:spacing w:after="0" w:line="240" w:lineRule="auto"/>
        <w:rPr>
          <w:rFonts w:asciiTheme="minorHAnsi" w:eastAsia="Times New Roman" w:hAnsiTheme="minorHAnsi" w:cstheme="minorHAnsi"/>
          <w:b/>
          <w:sz w:val="24"/>
          <w:szCs w:val="24"/>
        </w:rPr>
      </w:pPr>
      <w:r w:rsidRPr="005729A4">
        <w:rPr>
          <w:rFonts w:asciiTheme="minorHAnsi" w:eastAsia="Times New Roman" w:hAnsiTheme="minorHAnsi" w:cstheme="minorHAnsi"/>
          <w:b/>
          <w:sz w:val="24"/>
          <w:szCs w:val="24"/>
        </w:rPr>
        <w:lastRenderedPageBreak/>
        <w:t xml:space="preserve">Applicants may apply </w:t>
      </w:r>
      <w:r w:rsidR="00DA05A8" w:rsidRPr="005729A4">
        <w:rPr>
          <w:rFonts w:asciiTheme="minorHAnsi" w:eastAsia="Times New Roman" w:hAnsiTheme="minorHAnsi" w:cstheme="minorHAnsi"/>
          <w:b/>
          <w:sz w:val="24"/>
          <w:szCs w:val="24"/>
        </w:rPr>
        <w:t xml:space="preserve">for funding in one or more </w:t>
      </w:r>
      <w:r w:rsidR="00FE29EA" w:rsidRPr="005729A4">
        <w:rPr>
          <w:rFonts w:asciiTheme="minorHAnsi" w:eastAsia="Times New Roman" w:hAnsiTheme="minorHAnsi" w:cstheme="minorHAnsi"/>
          <w:b/>
          <w:sz w:val="24"/>
          <w:szCs w:val="24"/>
        </w:rPr>
        <w:t xml:space="preserve">Service </w:t>
      </w:r>
      <w:r w:rsidR="006359DC" w:rsidRPr="005729A4">
        <w:rPr>
          <w:rFonts w:asciiTheme="minorHAnsi" w:eastAsia="Times New Roman" w:hAnsiTheme="minorHAnsi" w:cstheme="minorHAnsi"/>
          <w:b/>
          <w:sz w:val="24"/>
          <w:szCs w:val="24"/>
        </w:rPr>
        <w:t>Categories</w:t>
      </w:r>
      <w:r w:rsidR="00050A09" w:rsidRPr="005729A4">
        <w:rPr>
          <w:rFonts w:asciiTheme="minorHAnsi" w:eastAsia="Times New Roman" w:hAnsiTheme="minorHAnsi" w:cstheme="minorHAnsi"/>
          <w:b/>
          <w:sz w:val="24"/>
          <w:szCs w:val="24"/>
        </w:rPr>
        <w:t>,</w:t>
      </w:r>
      <w:r w:rsidR="006359DC" w:rsidRPr="005729A4">
        <w:rPr>
          <w:rFonts w:asciiTheme="minorHAnsi" w:eastAsia="Times New Roman" w:hAnsiTheme="minorHAnsi" w:cstheme="minorHAnsi"/>
          <w:b/>
          <w:sz w:val="24"/>
          <w:szCs w:val="24"/>
        </w:rPr>
        <w:t xml:space="preserve"> but</w:t>
      </w:r>
      <w:r w:rsidRPr="005729A4">
        <w:rPr>
          <w:rFonts w:asciiTheme="minorHAnsi" w:eastAsia="Times New Roman" w:hAnsiTheme="minorHAnsi" w:cstheme="minorHAnsi"/>
          <w:b/>
          <w:sz w:val="24"/>
          <w:szCs w:val="24"/>
        </w:rPr>
        <w:t xml:space="preserve"> must complete</w:t>
      </w:r>
      <w:r w:rsidR="007B0995" w:rsidRPr="005729A4">
        <w:rPr>
          <w:rFonts w:asciiTheme="minorHAnsi" w:eastAsia="Times New Roman" w:hAnsiTheme="minorHAnsi" w:cstheme="minorHAnsi"/>
          <w:b/>
          <w:sz w:val="24"/>
          <w:szCs w:val="24"/>
        </w:rPr>
        <w:t xml:space="preserve"> </w:t>
      </w:r>
      <w:r w:rsidR="005729A4" w:rsidRPr="005729A4">
        <w:rPr>
          <w:rFonts w:asciiTheme="minorHAnsi" w:eastAsia="Times New Roman" w:hAnsiTheme="minorHAnsi" w:cstheme="minorHAnsi"/>
          <w:b/>
          <w:sz w:val="24"/>
          <w:szCs w:val="24"/>
        </w:rPr>
        <w:t xml:space="preserve">and package </w:t>
      </w:r>
      <w:r w:rsidR="007B0995" w:rsidRPr="005729A4">
        <w:rPr>
          <w:rFonts w:asciiTheme="minorHAnsi" w:eastAsia="Times New Roman" w:hAnsiTheme="minorHAnsi" w:cstheme="minorHAnsi"/>
          <w:b/>
          <w:sz w:val="24"/>
          <w:szCs w:val="24"/>
        </w:rPr>
        <w:t xml:space="preserve">forms H-4, H-5, and H-6 </w:t>
      </w:r>
      <w:r w:rsidRPr="005729A4">
        <w:rPr>
          <w:rFonts w:asciiTheme="minorHAnsi" w:eastAsia="Times New Roman" w:hAnsiTheme="minorHAnsi" w:cstheme="minorHAnsi"/>
          <w:b/>
          <w:sz w:val="24"/>
          <w:szCs w:val="24"/>
        </w:rPr>
        <w:t>separate</w:t>
      </w:r>
      <w:r w:rsidR="007B0995" w:rsidRPr="005729A4">
        <w:rPr>
          <w:rFonts w:asciiTheme="minorHAnsi" w:eastAsia="Times New Roman" w:hAnsiTheme="minorHAnsi" w:cstheme="minorHAnsi"/>
          <w:b/>
          <w:sz w:val="24"/>
          <w:szCs w:val="24"/>
        </w:rPr>
        <w:t>ly</w:t>
      </w:r>
      <w:r w:rsidRPr="005729A4">
        <w:rPr>
          <w:rFonts w:asciiTheme="minorHAnsi" w:eastAsia="Times New Roman" w:hAnsiTheme="minorHAnsi" w:cstheme="minorHAnsi"/>
          <w:b/>
          <w:sz w:val="24"/>
          <w:szCs w:val="24"/>
        </w:rPr>
        <w:t xml:space="preserve"> for </w:t>
      </w:r>
      <w:r w:rsidR="00FE29EA" w:rsidRPr="005729A4">
        <w:rPr>
          <w:rFonts w:asciiTheme="minorHAnsi" w:eastAsia="Times New Roman" w:hAnsiTheme="minorHAnsi" w:cstheme="minorHAnsi"/>
          <w:b/>
          <w:sz w:val="24"/>
          <w:szCs w:val="24"/>
        </w:rPr>
        <w:t>each</w:t>
      </w:r>
      <w:r w:rsidRPr="005729A4">
        <w:rPr>
          <w:rFonts w:asciiTheme="minorHAnsi" w:eastAsia="Times New Roman" w:hAnsiTheme="minorHAnsi" w:cstheme="minorHAnsi"/>
          <w:b/>
          <w:sz w:val="24"/>
          <w:szCs w:val="24"/>
        </w:rPr>
        <w:t xml:space="preserve"> proposed service.</w:t>
      </w:r>
    </w:p>
    <w:p w14:paraId="2E0E9FDC" w14:textId="77777777" w:rsidR="0048520D" w:rsidRPr="006B65BD" w:rsidRDefault="0048520D" w:rsidP="00835F6F">
      <w:pPr>
        <w:spacing w:after="0" w:line="240" w:lineRule="auto"/>
        <w:rPr>
          <w:rFonts w:asciiTheme="minorHAnsi" w:eastAsia="Times New Roman" w:hAnsiTheme="minorHAnsi" w:cstheme="minorHAnsi"/>
          <w:sz w:val="24"/>
          <w:szCs w:val="24"/>
        </w:rPr>
      </w:pPr>
    </w:p>
    <w:p w14:paraId="247BB24F" w14:textId="77777777" w:rsidR="004038D2" w:rsidRPr="006B65BD" w:rsidRDefault="004038D2" w:rsidP="004038D2">
      <w:p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u w:val="single"/>
        </w:rPr>
        <w:t>PURPOSE</w:t>
      </w:r>
    </w:p>
    <w:p w14:paraId="3874402A" w14:textId="77777777" w:rsidR="006359DC" w:rsidRPr="006B65BD" w:rsidRDefault="006359DC" w:rsidP="004038D2">
      <w:pPr>
        <w:spacing w:after="0" w:line="240" w:lineRule="auto"/>
        <w:jc w:val="both"/>
        <w:rPr>
          <w:rFonts w:asciiTheme="minorHAnsi" w:eastAsia="Times New Roman" w:hAnsiTheme="minorHAnsi" w:cstheme="minorHAnsi"/>
          <w:sz w:val="24"/>
          <w:szCs w:val="24"/>
          <w:highlight w:val="yellow"/>
        </w:rPr>
      </w:pPr>
    </w:p>
    <w:p w14:paraId="5ECE6AD4" w14:textId="02DC6CA5" w:rsidR="0099250F" w:rsidRDefault="004038D2" w:rsidP="00835F6F">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3"/>
          <w:szCs w:val="23"/>
        </w:rPr>
        <w:t xml:space="preserve">The purpose of this competitive solicitation is to establish </w:t>
      </w:r>
      <w:r w:rsidR="00DA05A8" w:rsidRPr="006B65BD">
        <w:rPr>
          <w:rFonts w:asciiTheme="minorHAnsi" w:eastAsia="Times New Roman" w:hAnsiTheme="minorHAnsi" w:cstheme="minorHAnsi"/>
          <w:sz w:val="23"/>
          <w:szCs w:val="23"/>
        </w:rPr>
        <w:t>A</w:t>
      </w:r>
      <w:r w:rsidRPr="006B65BD">
        <w:rPr>
          <w:rFonts w:asciiTheme="minorHAnsi" w:eastAsia="Times New Roman" w:hAnsiTheme="minorHAnsi" w:cstheme="minorHAnsi"/>
          <w:sz w:val="23"/>
          <w:szCs w:val="23"/>
        </w:rPr>
        <w:t>greement</w:t>
      </w:r>
      <w:r w:rsidR="00DA05A8" w:rsidRPr="006B65BD">
        <w:rPr>
          <w:rFonts w:asciiTheme="minorHAnsi" w:eastAsia="Times New Roman" w:hAnsiTheme="minorHAnsi" w:cstheme="minorHAnsi"/>
          <w:sz w:val="23"/>
          <w:szCs w:val="23"/>
        </w:rPr>
        <w:t>s</w:t>
      </w:r>
      <w:r w:rsidRPr="006B65BD">
        <w:rPr>
          <w:rFonts w:asciiTheme="minorHAnsi" w:eastAsia="Times New Roman" w:hAnsiTheme="minorHAnsi" w:cstheme="minorHAnsi"/>
          <w:sz w:val="23"/>
          <w:szCs w:val="23"/>
        </w:rPr>
        <w:t xml:space="preserve"> with </w:t>
      </w:r>
      <w:r w:rsidRPr="006B65BD">
        <w:rPr>
          <w:rFonts w:asciiTheme="minorHAnsi" w:eastAsia="Times New Roman" w:hAnsiTheme="minorHAnsi" w:cstheme="minorHAnsi"/>
          <w:sz w:val="24"/>
          <w:szCs w:val="24"/>
        </w:rPr>
        <w:t>qualified entit</w:t>
      </w:r>
      <w:r w:rsidR="00DA05A8" w:rsidRPr="006B65BD">
        <w:rPr>
          <w:rFonts w:asciiTheme="minorHAnsi" w:eastAsia="Times New Roman" w:hAnsiTheme="minorHAnsi" w:cstheme="minorHAnsi"/>
          <w:sz w:val="24"/>
          <w:szCs w:val="24"/>
        </w:rPr>
        <w:t xml:space="preserve">ies to provide </w:t>
      </w:r>
      <w:r w:rsidR="0099250F" w:rsidRPr="006B65BD">
        <w:rPr>
          <w:rFonts w:asciiTheme="minorHAnsi" w:eastAsia="Times New Roman" w:hAnsiTheme="minorHAnsi" w:cstheme="minorHAnsi"/>
          <w:sz w:val="24"/>
          <w:szCs w:val="24"/>
        </w:rPr>
        <w:t xml:space="preserve">direct </w:t>
      </w:r>
      <w:r w:rsidR="00DA05A8" w:rsidRPr="006B65BD">
        <w:rPr>
          <w:rFonts w:asciiTheme="minorHAnsi" w:eastAsia="Times New Roman" w:hAnsiTheme="minorHAnsi" w:cstheme="minorHAnsi"/>
          <w:sz w:val="24"/>
          <w:szCs w:val="24"/>
        </w:rPr>
        <w:t xml:space="preserve">services </w:t>
      </w:r>
      <w:r w:rsidR="00DA2F86" w:rsidRPr="006B65BD">
        <w:rPr>
          <w:rFonts w:asciiTheme="minorHAnsi" w:eastAsia="Times New Roman" w:hAnsiTheme="minorHAnsi" w:cstheme="minorHAnsi"/>
          <w:sz w:val="24"/>
          <w:szCs w:val="24"/>
        </w:rPr>
        <w:t xml:space="preserve">to individuals </w:t>
      </w:r>
      <w:r w:rsidR="00054729" w:rsidRPr="006B65BD">
        <w:rPr>
          <w:rFonts w:asciiTheme="minorHAnsi" w:eastAsia="Times New Roman" w:hAnsiTheme="minorHAnsi" w:cstheme="minorHAnsi"/>
          <w:sz w:val="24"/>
          <w:szCs w:val="24"/>
        </w:rPr>
        <w:t xml:space="preserve">that contribute to success of the </w:t>
      </w:r>
      <w:r w:rsidR="00054729" w:rsidRPr="006B65BD">
        <w:rPr>
          <w:rFonts w:asciiTheme="minorHAnsi" w:eastAsia="Times New Roman" w:hAnsiTheme="minorHAnsi" w:cstheme="minorHAnsi"/>
          <w:b/>
          <w:sz w:val="24"/>
          <w:szCs w:val="24"/>
        </w:rPr>
        <w:t>Getting To Zero</w:t>
      </w:r>
      <w:r w:rsidR="00054729" w:rsidRPr="006B65BD">
        <w:rPr>
          <w:rFonts w:asciiTheme="minorHAnsi" w:eastAsia="Times New Roman" w:hAnsiTheme="minorHAnsi" w:cstheme="minorHAnsi"/>
          <w:sz w:val="24"/>
          <w:szCs w:val="24"/>
        </w:rPr>
        <w:t xml:space="preserve"> (GTZ) </w:t>
      </w:r>
      <w:r w:rsidR="00442D78" w:rsidRPr="006B65BD">
        <w:rPr>
          <w:rFonts w:asciiTheme="minorHAnsi" w:eastAsia="Times New Roman" w:hAnsiTheme="minorHAnsi" w:cstheme="minorHAnsi"/>
          <w:sz w:val="24"/>
          <w:szCs w:val="24"/>
        </w:rPr>
        <w:t>Strategy</w:t>
      </w:r>
      <w:r w:rsidR="00054729" w:rsidRPr="006B65BD">
        <w:rPr>
          <w:rFonts w:asciiTheme="minorHAnsi" w:eastAsia="Times New Roman" w:hAnsiTheme="minorHAnsi" w:cstheme="minorHAnsi"/>
          <w:sz w:val="24"/>
          <w:szCs w:val="24"/>
        </w:rPr>
        <w:t>, a</w:t>
      </w:r>
      <w:r w:rsidR="00442D78" w:rsidRPr="006B65BD">
        <w:rPr>
          <w:rFonts w:asciiTheme="minorHAnsi" w:eastAsia="Times New Roman" w:hAnsiTheme="minorHAnsi" w:cstheme="minorHAnsi"/>
          <w:sz w:val="24"/>
          <w:szCs w:val="24"/>
        </w:rPr>
        <w:t xml:space="preserve"> UNAIDS commitment to end the AIDS epidemic through achieving zero deaths, zero new infections, and zero discrimination and stigma by 20</w:t>
      </w:r>
      <w:r w:rsidR="0099250F" w:rsidRPr="006B65BD">
        <w:rPr>
          <w:rFonts w:asciiTheme="minorHAnsi" w:eastAsia="Times New Roman" w:hAnsiTheme="minorHAnsi" w:cstheme="minorHAnsi"/>
          <w:sz w:val="24"/>
          <w:szCs w:val="24"/>
        </w:rPr>
        <w:t>3</w:t>
      </w:r>
      <w:r w:rsidR="00442D78" w:rsidRPr="006B65BD">
        <w:rPr>
          <w:rFonts w:asciiTheme="minorHAnsi" w:eastAsia="Times New Roman" w:hAnsiTheme="minorHAnsi" w:cstheme="minorHAnsi"/>
          <w:sz w:val="24"/>
          <w:szCs w:val="24"/>
        </w:rPr>
        <w:t>0.  The City’s commitment to th</w:t>
      </w:r>
      <w:r w:rsidR="0099250F" w:rsidRPr="006B65BD">
        <w:rPr>
          <w:rFonts w:asciiTheme="minorHAnsi" w:eastAsia="Times New Roman" w:hAnsiTheme="minorHAnsi" w:cstheme="minorHAnsi"/>
          <w:sz w:val="24"/>
          <w:szCs w:val="24"/>
        </w:rPr>
        <w:t xml:space="preserve">e Strategy was </w:t>
      </w:r>
      <w:r w:rsidR="00442D78" w:rsidRPr="006B65BD">
        <w:rPr>
          <w:rFonts w:asciiTheme="minorHAnsi" w:eastAsia="Times New Roman" w:hAnsiTheme="minorHAnsi" w:cstheme="minorHAnsi"/>
          <w:sz w:val="24"/>
          <w:szCs w:val="24"/>
        </w:rPr>
        <w:t xml:space="preserve">formalized </w:t>
      </w:r>
      <w:r w:rsidR="0099250F" w:rsidRPr="006B65BD">
        <w:rPr>
          <w:rFonts w:asciiTheme="minorHAnsi" w:eastAsia="Times New Roman" w:hAnsiTheme="minorHAnsi" w:cstheme="minorHAnsi"/>
          <w:sz w:val="24"/>
          <w:szCs w:val="24"/>
        </w:rPr>
        <w:t xml:space="preserve">by the Mayor’s and County Judge’s </w:t>
      </w:r>
      <w:r w:rsidR="00442D78" w:rsidRPr="006B65BD">
        <w:rPr>
          <w:rFonts w:asciiTheme="minorHAnsi" w:eastAsia="Times New Roman" w:hAnsiTheme="minorHAnsi" w:cstheme="minorHAnsi"/>
          <w:sz w:val="24"/>
          <w:szCs w:val="24"/>
        </w:rPr>
        <w:t xml:space="preserve">signing of the </w:t>
      </w:r>
      <w:r w:rsidR="00442D78" w:rsidRPr="006B65BD">
        <w:rPr>
          <w:rFonts w:asciiTheme="minorHAnsi" w:eastAsia="Times New Roman" w:hAnsiTheme="minorHAnsi" w:cstheme="minorHAnsi"/>
          <w:i/>
          <w:sz w:val="24"/>
          <w:szCs w:val="24"/>
        </w:rPr>
        <w:t>Paris Declaration</w:t>
      </w:r>
      <w:r w:rsidR="00442D78" w:rsidRPr="006B65BD">
        <w:rPr>
          <w:rFonts w:asciiTheme="minorHAnsi" w:eastAsia="Times New Roman" w:hAnsiTheme="minorHAnsi" w:cstheme="minorHAnsi"/>
          <w:sz w:val="24"/>
          <w:szCs w:val="24"/>
        </w:rPr>
        <w:t xml:space="preserve"> to join the </w:t>
      </w:r>
      <w:r w:rsidR="00442D78" w:rsidRPr="006B65BD">
        <w:rPr>
          <w:rFonts w:asciiTheme="minorHAnsi" w:eastAsia="Times New Roman" w:hAnsiTheme="minorHAnsi" w:cstheme="minorHAnsi"/>
          <w:b/>
          <w:sz w:val="24"/>
          <w:szCs w:val="24"/>
        </w:rPr>
        <w:t>Fast</w:t>
      </w:r>
      <w:r w:rsidR="0099250F" w:rsidRPr="006B65BD">
        <w:rPr>
          <w:rFonts w:asciiTheme="minorHAnsi" w:eastAsia="Times New Roman" w:hAnsiTheme="minorHAnsi" w:cstheme="minorHAnsi"/>
          <w:b/>
          <w:sz w:val="24"/>
          <w:szCs w:val="24"/>
        </w:rPr>
        <w:t>-</w:t>
      </w:r>
      <w:r w:rsidR="00442D78" w:rsidRPr="006B65BD">
        <w:rPr>
          <w:rFonts w:asciiTheme="minorHAnsi" w:eastAsia="Times New Roman" w:hAnsiTheme="minorHAnsi" w:cstheme="minorHAnsi"/>
          <w:b/>
          <w:sz w:val="24"/>
          <w:szCs w:val="24"/>
        </w:rPr>
        <w:t>Track Cities</w:t>
      </w:r>
      <w:r w:rsidR="0099250F" w:rsidRPr="006B65BD">
        <w:rPr>
          <w:rFonts w:asciiTheme="minorHAnsi" w:eastAsia="Times New Roman" w:hAnsiTheme="minorHAnsi" w:cstheme="minorHAnsi"/>
          <w:b/>
          <w:sz w:val="24"/>
          <w:szCs w:val="24"/>
        </w:rPr>
        <w:t xml:space="preserve"> </w:t>
      </w:r>
      <w:r w:rsidR="00B835B5" w:rsidRPr="006B65BD">
        <w:rPr>
          <w:rFonts w:asciiTheme="minorHAnsi" w:eastAsia="Times New Roman" w:hAnsiTheme="minorHAnsi" w:cstheme="minorHAnsi"/>
          <w:b/>
          <w:sz w:val="24"/>
          <w:szCs w:val="24"/>
        </w:rPr>
        <w:t xml:space="preserve">(FTC) </w:t>
      </w:r>
      <w:r w:rsidR="0097784C">
        <w:rPr>
          <w:rFonts w:asciiTheme="minorHAnsi" w:eastAsia="Times New Roman" w:hAnsiTheme="minorHAnsi" w:cstheme="minorHAnsi"/>
          <w:sz w:val="24"/>
          <w:szCs w:val="24"/>
        </w:rPr>
        <w:t xml:space="preserve">initiative on June 20, 2018. </w:t>
      </w:r>
    </w:p>
    <w:p w14:paraId="51B3E4D1" w14:textId="77777777" w:rsidR="0097784C" w:rsidRDefault="0097784C" w:rsidP="00835F6F">
      <w:pPr>
        <w:spacing w:after="0" w:line="240" w:lineRule="auto"/>
        <w:rPr>
          <w:rFonts w:asciiTheme="minorHAnsi" w:eastAsia="Times New Roman" w:hAnsiTheme="minorHAnsi" w:cstheme="minorHAnsi"/>
          <w:sz w:val="24"/>
          <w:szCs w:val="24"/>
        </w:rPr>
      </w:pPr>
    </w:p>
    <w:p w14:paraId="7D5E012F" w14:textId="714034B5" w:rsidR="0097784C" w:rsidRDefault="0097784C" w:rsidP="00835F6F">
      <w:pPr>
        <w:spacing w:after="0" w:line="240" w:lineRule="auto"/>
        <w:rPr>
          <w:rFonts w:asciiTheme="minorHAnsi" w:eastAsia="Times New Roman" w:hAnsiTheme="minorHAnsi" w:cstheme="minorHAnsi"/>
          <w:sz w:val="24"/>
          <w:szCs w:val="24"/>
        </w:rPr>
      </w:pPr>
      <w:r w:rsidRPr="005729A4">
        <w:rPr>
          <w:rFonts w:asciiTheme="minorHAnsi" w:eastAsia="Times New Roman" w:hAnsiTheme="minorHAnsi" w:cstheme="minorHAnsi"/>
          <w:sz w:val="24"/>
          <w:szCs w:val="24"/>
        </w:rPr>
        <w:t>The f</w:t>
      </w:r>
      <w:r w:rsidR="00E05AF9" w:rsidRPr="005729A4">
        <w:rPr>
          <w:rFonts w:asciiTheme="minorHAnsi" w:eastAsia="Times New Roman" w:hAnsiTheme="minorHAnsi" w:cstheme="minorHAnsi"/>
          <w:sz w:val="24"/>
          <w:szCs w:val="24"/>
        </w:rPr>
        <w:t xml:space="preserve">ull GTZ Strategy is outlined in the </w:t>
      </w:r>
      <w:hyperlink r:id="rId9" w:history="1">
        <w:r w:rsidR="00E05AF9" w:rsidRPr="005729A4">
          <w:rPr>
            <w:rStyle w:val="Hyperlink"/>
            <w:rFonts w:asciiTheme="minorHAnsi" w:eastAsia="Times New Roman" w:hAnsiTheme="minorHAnsi" w:cstheme="minorHAnsi"/>
            <w:sz w:val="24"/>
            <w:szCs w:val="24"/>
          </w:rPr>
          <w:t>Getting To Zero 2011-2015 UNAIDS Strategy</w:t>
        </w:r>
      </w:hyperlink>
      <w:r w:rsidR="00E05AF9" w:rsidRPr="005729A4">
        <w:rPr>
          <w:rFonts w:asciiTheme="minorHAnsi" w:eastAsia="Times New Roman" w:hAnsiTheme="minorHAnsi" w:cstheme="minorHAnsi"/>
          <w:sz w:val="24"/>
          <w:szCs w:val="24"/>
        </w:rPr>
        <w:t>.</w:t>
      </w:r>
    </w:p>
    <w:p w14:paraId="7AF06A1E" w14:textId="77777777" w:rsidR="0097784C" w:rsidRDefault="0097784C" w:rsidP="00835F6F">
      <w:pPr>
        <w:spacing w:after="0" w:line="240" w:lineRule="auto"/>
        <w:rPr>
          <w:rFonts w:asciiTheme="minorHAnsi" w:eastAsia="Times New Roman" w:hAnsiTheme="minorHAnsi" w:cstheme="minorHAnsi"/>
          <w:sz w:val="24"/>
          <w:szCs w:val="24"/>
        </w:rPr>
      </w:pPr>
    </w:p>
    <w:p w14:paraId="37107764" w14:textId="3A2F88DC" w:rsidR="0097784C" w:rsidRPr="006B65BD" w:rsidRDefault="0097784C" w:rsidP="00835F6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Fast Track Cities initiative is described at </w:t>
      </w:r>
      <w:r w:rsidR="0061799B">
        <w:rPr>
          <w:rFonts w:asciiTheme="minorHAnsi" w:eastAsia="Times New Roman" w:hAnsiTheme="minorHAnsi" w:cstheme="minorHAnsi"/>
          <w:sz w:val="24"/>
          <w:szCs w:val="24"/>
        </w:rPr>
        <w:t xml:space="preserve">the </w:t>
      </w:r>
      <w:hyperlink r:id="rId10" w:history="1">
        <w:r w:rsidR="0061799B" w:rsidRPr="0061799B">
          <w:rPr>
            <w:rStyle w:val="Hyperlink"/>
            <w:rFonts w:asciiTheme="minorHAnsi" w:eastAsia="Times New Roman" w:hAnsiTheme="minorHAnsi" w:cstheme="minorHAnsi"/>
            <w:sz w:val="24"/>
            <w:szCs w:val="24"/>
          </w:rPr>
          <w:t>International Association of Providers of AIDS Care website</w:t>
        </w:r>
      </w:hyperlink>
      <w:r w:rsidR="0061799B">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2FE527D3" w14:textId="387D08C8" w:rsidR="0099250F" w:rsidRDefault="0099250F" w:rsidP="004038D2">
      <w:pPr>
        <w:spacing w:after="0" w:line="240" w:lineRule="auto"/>
        <w:ind w:left="360"/>
        <w:jc w:val="both"/>
        <w:rPr>
          <w:rFonts w:asciiTheme="minorHAnsi" w:eastAsia="Times New Roman" w:hAnsiTheme="minorHAnsi" w:cstheme="minorHAnsi"/>
          <w:b/>
          <w:sz w:val="24"/>
          <w:szCs w:val="24"/>
          <w:u w:val="single"/>
        </w:rPr>
      </w:pPr>
    </w:p>
    <w:p w14:paraId="2FC6B3E7" w14:textId="4C3FCCF3" w:rsidR="0061799B" w:rsidRDefault="0061799B" w:rsidP="004038D2">
      <w:pPr>
        <w:spacing w:after="0" w:line="240" w:lineRule="auto"/>
        <w:ind w:left="360"/>
        <w:jc w:val="both"/>
        <w:rPr>
          <w:rFonts w:asciiTheme="minorHAnsi" w:eastAsia="Times New Roman" w:hAnsiTheme="minorHAnsi" w:cstheme="minorHAnsi"/>
          <w:b/>
          <w:sz w:val="24"/>
          <w:szCs w:val="24"/>
          <w:u w:val="single"/>
        </w:rPr>
      </w:pPr>
    </w:p>
    <w:p w14:paraId="46A65B65" w14:textId="276F34FB" w:rsidR="0061799B" w:rsidRDefault="0061799B" w:rsidP="004038D2">
      <w:pPr>
        <w:spacing w:after="0" w:line="240" w:lineRule="auto"/>
        <w:ind w:left="360"/>
        <w:jc w:val="both"/>
        <w:rPr>
          <w:rFonts w:asciiTheme="minorHAnsi" w:eastAsia="Times New Roman" w:hAnsiTheme="minorHAnsi" w:cstheme="minorHAnsi"/>
          <w:b/>
          <w:sz w:val="24"/>
          <w:szCs w:val="24"/>
          <w:u w:val="single"/>
        </w:rPr>
      </w:pPr>
    </w:p>
    <w:p w14:paraId="70505733" w14:textId="77777777" w:rsidR="005729A4" w:rsidRPr="006B65BD" w:rsidRDefault="005729A4" w:rsidP="004038D2">
      <w:pPr>
        <w:spacing w:after="0" w:line="240" w:lineRule="auto"/>
        <w:ind w:left="360"/>
        <w:jc w:val="both"/>
        <w:rPr>
          <w:rFonts w:asciiTheme="minorHAnsi" w:eastAsia="Times New Roman" w:hAnsiTheme="minorHAnsi" w:cstheme="minorHAnsi"/>
          <w:b/>
          <w:sz w:val="24"/>
          <w:szCs w:val="24"/>
          <w:u w:val="single"/>
        </w:rPr>
      </w:pPr>
    </w:p>
    <w:p w14:paraId="05359735" w14:textId="77777777" w:rsidR="0099250F" w:rsidRPr="006B65BD" w:rsidRDefault="0099250F" w:rsidP="00730340">
      <w:pPr>
        <w:spacing w:after="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BACKGROUND</w:t>
      </w:r>
    </w:p>
    <w:p w14:paraId="73F67FA7" w14:textId="77777777" w:rsidR="006359DC" w:rsidRPr="006B65BD" w:rsidRDefault="006359DC" w:rsidP="00730340">
      <w:pPr>
        <w:spacing w:after="0" w:line="240" w:lineRule="auto"/>
        <w:jc w:val="both"/>
        <w:rPr>
          <w:rFonts w:asciiTheme="minorHAnsi" w:eastAsia="Times New Roman" w:hAnsiTheme="minorHAnsi" w:cstheme="minorHAnsi"/>
          <w:b/>
          <w:sz w:val="24"/>
          <w:szCs w:val="24"/>
          <w:u w:val="single"/>
        </w:rPr>
      </w:pPr>
    </w:p>
    <w:p w14:paraId="528C1ABC" w14:textId="7C4D7FD1" w:rsidR="0099250F" w:rsidRDefault="0099250F" w:rsidP="00835F6F">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During th</w:t>
      </w:r>
      <w:r w:rsidR="00BF69CE">
        <w:rPr>
          <w:rFonts w:asciiTheme="minorHAnsi" w:eastAsia="Times New Roman" w:hAnsiTheme="minorHAnsi" w:cstheme="minorHAnsi"/>
          <w:sz w:val="24"/>
          <w:szCs w:val="24"/>
        </w:rPr>
        <w:t>e last decade</w:t>
      </w:r>
      <w:r w:rsidRPr="006B65BD">
        <w:rPr>
          <w:rFonts w:asciiTheme="minorHAnsi" w:eastAsia="Times New Roman" w:hAnsiTheme="minorHAnsi" w:cstheme="minorHAnsi"/>
          <w:sz w:val="24"/>
          <w:szCs w:val="24"/>
        </w:rPr>
        <w:t>, there have been profound shifts in treatment, grant funding priorities</w:t>
      </w:r>
      <w:r w:rsidR="00AE4875">
        <w:rPr>
          <w:rFonts w:asciiTheme="minorHAnsi" w:eastAsia="Times New Roman" w:hAnsiTheme="minorHAnsi" w:cstheme="minorHAnsi"/>
          <w:sz w:val="24"/>
          <w:szCs w:val="24"/>
        </w:rPr>
        <w:t xml:space="preserve">, Federal </w:t>
      </w:r>
      <w:r w:rsidRPr="006B65BD">
        <w:rPr>
          <w:rFonts w:asciiTheme="minorHAnsi" w:eastAsia="Times New Roman" w:hAnsiTheme="minorHAnsi" w:cstheme="minorHAnsi"/>
          <w:sz w:val="24"/>
          <w:szCs w:val="24"/>
        </w:rPr>
        <w:t>regulations, and</w:t>
      </w:r>
      <w:r w:rsidR="00AE4875">
        <w:rPr>
          <w:rFonts w:asciiTheme="minorHAnsi" w:eastAsia="Times New Roman" w:hAnsiTheme="minorHAnsi" w:cstheme="minorHAnsi"/>
          <w:sz w:val="24"/>
          <w:szCs w:val="24"/>
        </w:rPr>
        <w:t xml:space="preserve"> prioritization of</w:t>
      </w:r>
      <w:r w:rsidRPr="006B65BD">
        <w:rPr>
          <w:rFonts w:asciiTheme="minorHAnsi" w:eastAsia="Times New Roman" w:hAnsiTheme="minorHAnsi" w:cstheme="minorHAnsi"/>
          <w:sz w:val="24"/>
          <w:szCs w:val="24"/>
        </w:rPr>
        <w:t xml:space="preserve"> social justice issues related to health </w:t>
      </w:r>
      <w:r w:rsidRPr="006B65BD">
        <w:rPr>
          <w:rFonts w:asciiTheme="minorHAnsi" w:eastAsia="Times New Roman" w:hAnsiTheme="minorHAnsi" w:cstheme="minorHAnsi"/>
          <w:sz w:val="24"/>
          <w:szCs w:val="24"/>
        </w:rPr>
        <w:lastRenderedPageBreak/>
        <w:t xml:space="preserve">equity </w:t>
      </w:r>
      <w:r w:rsidR="00DA2F86" w:rsidRPr="006B65BD">
        <w:rPr>
          <w:rFonts w:asciiTheme="minorHAnsi" w:eastAsia="Times New Roman" w:hAnsiTheme="minorHAnsi" w:cstheme="minorHAnsi"/>
          <w:sz w:val="24"/>
          <w:szCs w:val="24"/>
        </w:rPr>
        <w:t>and</w:t>
      </w:r>
      <w:r w:rsidRPr="006B65BD">
        <w:rPr>
          <w:rFonts w:asciiTheme="minorHAnsi" w:eastAsia="Times New Roman" w:hAnsiTheme="minorHAnsi" w:cstheme="minorHAnsi"/>
          <w:sz w:val="24"/>
          <w:szCs w:val="24"/>
        </w:rPr>
        <w:t xml:space="preserve"> disparate health outcomes for </w:t>
      </w:r>
      <w:r w:rsidR="00B835B5" w:rsidRPr="006B65BD">
        <w:rPr>
          <w:rFonts w:asciiTheme="minorHAnsi" w:eastAsia="Times New Roman" w:hAnsiTheme="minorHAnsi" w:cstheme="minorHAnsi"/>
          <w:sz w:val="24"/>
          <w:szCs w:val="24"/>
        </w:rPr>
        <w:t>PLWH</w:t>
      </w:r>
      <w:r w:rsidRPr="006B65BD">
        <w:rPr>
          <w:rFonts w:asciiTheme="minorHAnsi" w:eastAsia="Times New Roman" w:hAnsiTheme="minorHAnsi" w:cstheme="minorHAnsi"/>
          <w:sz w:val="24"/>
          <w:szCs w:val="24"/>
        </w:rPr>
        <w:t xml:space="preserve">.  </w:t>
      </w:r>
      <w:r w:rsidR="00AE4875">
        <w:rPr>
          <w:rFonts w:asciiTheme="minorHAnsi" w:eastAsia="Times New Roman" w:hAnsiTheme="minorHAnsi" w:cstheme="minorHAnsi"/>
          <w:sz w:val="24"/>
          <w:szCs w:val="24"/>
        </w:rPr>
        <w:t>The impact of social determinants on health outcomes has been extensively researched and elevated in importance.  A</w:t>
      </w:r>
      <w:r w:rsidRPr="006B65BD">
        <w:rPr>
          <w:rFonts w:asciiTheme="minorHAnsi" w:eastAsia="Times New Roman" w:hAnsiTheme="minorHAnsi" w:cstheme="minorHAnsi"/>
          <w:sz w:val="24"/>
          <w:szCs w:val="24"/>
        </w:rPr>
        <w:t xml:space="preserve">dvances in HIV medical treatment and the continuing advent of new pharmaceuticals have transformed HIV infection </w:t>
      </w:r>
      <w:r w:rsidR="00DA2F86" w:rsidRPr="006B65BD">
        <w:rPr>
          <w:rFonts w:asciiTheme="minorHAnsi" w:eastAsia="Times New Roman" w:hAnsiTheme="minorHAnsi" w:cstheme="minorHAnsi"/>
          <w:sz w:val="24"/>
          <w:szCs w:val="24"/>
        </w:rPr>
        <w:t xml:space="preserve">primarily </w:t>
      </w:r>
      <w:r w:rsidRPr="006B65BD">
        <w:rPr>
          <w:rFonts w:asciiTheme="minorHAnsi" w:eastAsia="Times New Roman" w:hAnsiTheme="minorHAnsi" w:cstheme="minorHAnsi"/>
          <w:sz w:val="24"/>
          <w:szCs w:val="24"/>
        </w:rPr>
        <w:t>into a</w:t>
      </w:r>
      <w:r w:rsidR="00DA2F86" w:rsidRPr="006B65BD">
        <w:rPr>
          <w:rFonts w:asciiTheme="minorHAnsi" w:eastAsia="Times New Roman" w:hAnsiTheme="minorHAnsi" w:cstheme="minorHAnsi"/>
          <w:sz w:val="24"/>
          <w:szCs w:val="24"/>
        </w:rPr>
        <w:t xml:space="preserve"> chronic but</w:t>
      </w:r>
      <w:r w:rsidRPr="006B65BD">
        <w:rPr>
          <w:rFonts w:asciiTheme="minorHAnsi" w:eastAsia="Times New Roman" w:hAnsiTheme="minorHAnsi" w:cstheme="minorHAnsi"/>
          <w:sz w:val="24"/>
          <w:szCs w:val="24"/>
        </w:rPr>
        <w:t xml:space="preserve"> manageable disease when PLWH are </w:t>
      </w:r>
      <w:r w:rsidR="00B835B5" w:rsidRPr="006B65BD">
        <w:rPr>
          <w:rFonts w:asciiTheme="minorHAnsi" w:eastAsia="Times New Roman" w:hAnsiTheme="minorHAnsi" w:cstheme="minorHAnsi"/>
          <w:sz w:val="24"/>
          <w:szCs w:val="24"/>
        </w:rPr>
        <w:t>identified</w:t>
      </w:r>
      <w:r w:rsidR="00DA2F86" w:rsidRPr="006B65BD">
        <w:rPr>
          <w:rFonts w:asciiTheme="minorHAnsi" w:eastAsia="Times New Roman" w:hAnsiTheme="minorHAnsi" w:cstheme="minorHAnsi"/>
          <w:sz w:val="24"/>
          <w:szCs w:val="24"/>
        </w:rPr>
        <w:t xml:space="preserve"> as quickly as possible</w:t>
      </w:r>
      <w:r w:rsidR="00B835B5" w:rsidRPr="006B65BD">
        <w:rPr>
          <w:rFonts w:asciiTheme="minorHAnsi" w:eastAsia="Times New Roman" w:hAnsiTheme="minorHAnsi" w:cstheme="minorHAnsi"/>
          <w:sz w:val="24"/>
          <w:szCs w:val="24"/>
        </w:rPr>
        <w:t xml:space="preserve">, </w:t>
      </w:r>
      <w:r w:rsidRPr="006B65BD">
        <w:rPr>
          <w:rFonts w:asciiTheme="minorHAnsi" w:eastAsia="Times New Roman" w:hAnsiTheme="minorHAnsi" w:cstheme="minorHAnsi"/>
          <w:sz w:val="24"/>
          <w:szCs w:val="24"/>
        </w:rPr>
        <w:t>engaged and retained in medical care</w:t>
      </w:r>
      <w:r w:rsidR="00B835B5" w:rsidRPr="006B65BD">
        <w:rPr>
          <w:rFonts w:asciiTheme="minorHAnsi" w:eastAsia="Times New Roman" w:hAnsiTheme="minorHAnsi" w:cstheme="minorHAnsi"/>
          <w:sz w:val="24"/>
          <w:szCs w:val="24"/>
        </w:rPr>
        <w:t>, and provided appropriate antiretroviral treatment</w:t>
      </w:r>
      <w:r w:rsidRPr="006B65BD">
        <w:rPr>
          <w:rFonts w:asciiTheme="minorHAnsi" w:eastAsia="Times New Roman" w:hAnsiTheme="minorHAnsi" w:cstheme="minorHAnsi"/>
          <w:sz w:val="24"/>
          <w:szCs w:val="24"/>
        </w:rPr>
        <w:t xml:space="preserve">. </w:t>
      </w:r>
    </w:p>
    <w:p w14:paraId="5D409D81" w14:textId="77777777" w:rsidR="0097784C" w:rsidRDefault="0097784C" w:rsidP="00835F6F">
      <w:pPr>
        <w:spacing w:after="0" w:line="240" w:lineRule="auto"/>
        <w:rPr>
          <w:rFonts w:asciiTheme="minorHAnsi" w:eastAsia="Times New Roman" w:hAnsiTheme="minorHAnsi" w:cstheme="minorHAnsi"/>
          <w:sz w:val="24"/>
          <w:szCs w:val="24"/>
        </w:rPr>
      </w:pPr>
    </w:p>
    <w:p w14:paraId="12E7341C" w14:textId="7C965C00" w:rsidR="0097784C" w:rsidRPr="006B65BD" w:rsidRDefault="0097784C" w:rsidP="00835F6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City HIV General Fund Agreements are expected to contribute di</w:t>
      </w:r>
      <w:r w:rsidR="000A2953">
        <w:rPr>
          <w:rFonts w:asciiTheme="minorHAnsi" w:eastAsia="Times New Roman" w:hAnsiTheme="minorHAnsi" w:cstheme="minorHAnsi"/>
          <w:sz w:val="24"/>
          <w:szCs w:val="24"/>
        </w:rPr>
        <w:t xml:space="preserve">rectly to the GTZ/FTC </w:t>
      </w:r>
      <w:r w:rsidR="00BF69CE">
        <w:rPr>
          <w:rFonts w:asciiTheme="minorHAnsi" w:eastAsia="Times New Roman" w:hAnsiTheme="minorHAnsi" w:cstheme="minorHAnsi"/>
          <w:sz w:val="24"/>
          <w:szCs w:val="24"/>
        </w:rPr>
        <w:t xml:space="preserve">goals </w:t>
      </w:r>
      <w:r>
        <w:rPr>
          <w:rFonts w:asciiTheme="minorHAnsi" w:eastAsia="Times New Roman" w:hAnsiTheme="minorHAnsi" w:cstheme="minorHAnsi"/>
          <w:sz w:val="24"/>
          <w:szCs w:val="24"/>
        </w:rPr>
        <w:t xml:space="preserve">by providing </w:t>
      </w:r>
      <w:r w:rsidR="00BF69CE">
        <w:rPr>
          <w:rFonts w:asciiTheme="minorHAnsi" w:eastAsia="Times New Roman" w:hAnsiTheme="minorHAnsi" w:cstheme="minorHAnsi"/>
          <w:sz w:val="24"/>
          <w:szCs w:val="24"/>
        </w:rPr>
        <w:t>Prevention Through Care.</w:t>
      </w:r>
    </w:p>
    <w:p w14:paraId="63EA7BE1" w14:textId="77777777" w:rsidR="0099250F" w:rsidRPr="006B65BD" w:rsidRDefault="0099250F" w:rsidP="0099250F">
      <w:pPr>
        <w:spacing w:after="0" w:line="240" w:lineRule="auto"/>
        <w:ind w:left="360"/>
        <w:jc w:val="both"/>
        <w:rPr>
          <w:rFonts w:asciiTheme="minorHAnsi" w:eastAsia="Times New Roman" w:hAnsiTheme="minorHAnsi" w:cstheme="minorHAnsi"/>
          <w:sz w:val="24"/>
          <w:szCs w:val="24"/>
        </w:rPr>
      </w:pPr>
    </w:p>
    <w:p w14:paraId="359F61EC" w14:textId="77777777" w:rsidR="00B835B5" w:rsidRPr="00986045" w:rsidRDefault="0099250F" w:rsidP="00835F6F">
      <w:pPr>
        <w:spacing w:after="0" w:line="240" w:lineRule="auto"/>
        <w:rPr>
          <w:rFonts w:asciiTheme="minorHAnsi" w:eastAsia="Times New Roman" w:hAnsiTheme="minorHAnsi" w:cstheme="minorHAnsi"/>
          <w:b/>
          <w:i/>
          <w:sz w:val="24"/>
          <w:szCs w:val="24"/>
        </w:rPr>
      </w:pPr>
      <w:r w:rsidRPr="00986045">
        <w:rPr>
          <w:rFonts w:asciiTheme="minorHAnsi" w:eastAsia="Times New Roman" w:hAnsiTheme="minorHAnsi" w:cstheme="minorHAnsi"/>
          <w:b/>
          <w:i/>
          <w:sz w:val="24"/>
          <w:szCs w:val="24"/>
        </w:rPr>
        <w:t>Th</w:t>
      </w:r>
      <w:r w:rsidR="00B835B5" w:rsidRPr="00986045">
        <w:rPr>
          <w:rFonts w:asciiTheme="minorHAnsi" w:eastAsia="Times New Roman" w:hAnsiTheme="minorHAnsi" w:cstheme="minorHAnsi"/>
          <w:b/>
          <w:i/>
          <w:sz w:val="24"/>
          <w:szCs w:val="24"/>
        </w:rPr>
        <w:t>is solicitation will result in services that:</w:t>
      </w:r>
    </w:p>
    <w:p w14:paraId="3E7C65E3" w14:textId="493EB8F8" w:rsidR="0099250F" w:rsidRPr="006B65BD" w:rsidRDefault="00B835B5" w:rsidP="00646198">
      <w:pPr>
        <w:numPr>
          <w:ilvl w:val="0"/>
          <w:numId w:val="7"/>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Support the targets of the “90-90-90” </w:t>
      </w:r>
      <w:r w:rsidR="00B66BE3" w:rsidRPr="006B65BD">
        <w:rPr>
          <w:rFonts w:asciiTheme="minorHAnsi" w:eastAsia="Times New Roman" w:hAnsiTheme="minorHAnsi" w:cstheme="minorHAnsi"/>
          <w:sz w:val="24"/>
          <w:szCs w:val="24"/>
        </w:rPr>
        <w:t xml:space="preserve">strategy </w:t>
      </w:r>
      <w:r w:rsidRPr="006B65BD">
        <w:rPr>
          <w:rFonts w:asciiTheme="minorHAnsi" w:eastAsia="Times New Roman" w:hAnsiTheme="minorHAnsi" w:cstheme="minorHAnsi"/>
          <w:sz w:val="24"/>
          <w:szCs w:val="24"/>
        </w:rPr>
        <w:t>associated with GTZ and FTC:</w:t>
      </w:r>
    </w:p>
    <w:p w14:paraId="455D966C" w14:textId="77777777" w:rsidR="00B835B5" w:rsidRPr="006B65BD" w:rsidRDefault="00B835B5" w:rsidP="00646198">
      <w:pPr>
        <w:numPr>
          <w:ilvl w:val="1"/>
          <w:numId w:val="7"/>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90 percent of </w:t>
      </w:r>
      <w:r w:rsidR="00B66BE3" w:rsidRPr="006B65BD">
        <w:rPr>
          <w:rFonts w:asciiTheme="minorHAnsi" w:eastAsia="Times New Roman" w:hAnsiTheme="minorHAnsi" w:cstheme="minorHAnsi"/>
          <w:sz w:val="24"/>
          <w:szCs w:val="24"/>
        </w:rPr>
        <w:t xml:space="preserve">people infected with HIV </w:t>
      </w:r>
      <w:r w:rsidRPr="006B65BD">
        <w:rPr>
          <w:rFonts w:asciiTheme="minorHAnsi" w:eastAsia="Times New Roman" w:hAnsiTheme="minorHAnsi" w:cstheme="minorHAnsi"/>
          <w:sz w:val="24"/>
          <w:szCs w:val="24"/>
        </w:rPr>
        <w:t>will know their status</w:t>
      </w:r>
    </w:p>
    <w:p w14:paraId="326088B9" w14:textId="77777777" w:rsidR="00B66BE3" w:rsidRPr="006B65BD" w:rsidRDefault="00B66BE3" w:rsidP="00646198">
      <w:pPr>
        <w:numPr>
          <w:ilvl w:val="1"/>
          <w:numId w:val="7"/>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90 percent of those who know their status will receive antiretroviral therapy (ART)</w:t>
      </w:r>
    </w:p>
    <w:p w14:paraId="3C69F2BB" w14:textId="77777777" w:rsidR="00B66BE3" w:rsidRPr="006B65BD" w:rsidRDefault="00B66BE3" w:rsidP="00646198">
      <w:pPr>
        <w:numPr>
          <w:ilvl w:val="1"/>
          <w:numId w:val="7"/>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90 percent of those on ART will be virally suppressed, i.e., will show undetectable levels of HIV in laboratory testing</w:t>
      </w:r>
    </w:p>
    <w:p w14:paraId="4791BB63" w14:textId="77777777" w:rsidR="00B66BE3" w:rsidRPr="006B65BD" w:rsidRDefault="00B66BE3" w:rsidP="00646198">
      <w:pPr>
        <w:numPr>
          <w:ilvl w:val="0"/>
          <w:numId w:val="7"/>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Provide core and support services to PLWH in the community</w:t>
      </w:r>
    </w:p>
    <w:p w14:paraId="3CCE9B6F" w14:textId="42818DD9" w:rsidR="00B66BE3" w:rsidRPr="006B65BD" w:rsidRDefault="00AE4875" w:rsidP="00646198">
      <w:pPr>
        <w:numPr>
          <w:ilvl w:val="0"/>
          <w:numId w:val="7"/>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Improve health outcomes</w:t>
      </w:r>
      <w:r w:rsidR="00B66BE3" w:rsidRPr="006B65BD">
        <w:rPr>
          <w:rFonts w:asciiTheme="minorHAnsi" w:eastAsia="Times New Roman" w:hAnsiTheme="minorHAnsi" w:cstheme="minorHAnsi"/>
          <w:sz w:val="24"/>
          <w:szCs w:val="24"/>
        </w:rPr>
        <w:t xml:space="preserve"> and reduce disparities among targeted subpopulations </w:t>
      </w:r>
    </w:p>
    <w:p w14:paraId="2F183143" w14:textId="77777777" w:rsidR="00BC599D" w:rsidRPr="006B65BD" w:rsidRDefault="00BC599D" w:rsidP="00BC599D">
      <w:pPr>
        <w:tabs>
          <w:tab w:val="left" w:pos="630"/>
        </w:tabs>
        <w:spacing w:after="0" w:line="240" w:lineRule="auto"/>
        <w:jc w:val="both"/>
        <w:rPr>
          <w:rFonts w:asciiTheme="minorHAnsi" w:eastAsia="Times New Roman" w:hAnsiTheme="minorHAnsi" w:cstheme="minorHAnsi"/>
          <w:b/>
          <w:sz w:val="24"/>
          <w:szCs w:val="24"/>
          <w:u w:val="single"/>
        </w:rPr>
      </w:pPr>
    </w:p>
    <w:p w14:paraId="1753587F" w14:textId="77777777" w:rsidR="00BC599D" w:rsidRPr="006B65BD" w:rsidRDefault="00BC599D" w:rsidP="00BC599D">
      <w:pPr>
        <w:tabs>
          <w:tab w:val="left" w:pos="630"/>
        </w:tabs>
        <w:spacing w:after="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APPLICANT QUALIFICATIONS</w:t>
      </w:r>
    </w:p>
    <w:p w14:paraId="7376BD20" w14:textId="77777777" w:rsidR="00BC599D" w:rsidRPr="006B65BD" w:rsidRDefault="00BC599D" w:rsidP="00BC599D">
      <w:pPr>
        <w:tabs>
          <w:tab w:val="left" w:pos="630"/>
        </w:tabs>
        <w:spacing w:after="0" w:line="240" w:lineRule="auto"/>
        <w:jc w:val="both"/>
        <w:rPr>
          <w:rFonts w:asciiTheme="minorHAnsi" w:eastAsia="Times New Roman" w:hAnsiTheme="minorHAnsi" w:cstheme="minorHAnsi"/>
          <w:b/>
          <w:sz w:val="24"/>
          <w:szCs w:val="24"/>
          <w:u w:val="single"/>
        </w:rPr>
      </w:pPr>
    </w:p>
    <w:p w14:paraId="2D426F49" w14:textId="77777777" w:rsidR="00BC599D" w:rsidRPr="006B65BD" w:rsidRDefault="00BC599D" w:rsidP="00646198">
      <w:pPr>
        <w:numPr>
          <w:ilvl w:val="0"/>
          <w:numId w:val="1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lastRenderedPageBreak/>
        <w:t>Applicants must meet all threshold review requirements.</w:t>
      </w:r>
    </w:p>
    <w:p w14:paraId="68B40455" w14:textId="77777777" w:rsidR="00BC599D" w:rsidRPr="006B65BD" w:rsidRDefault="00BC599D" w:rsidP="00646198">
      <w:pPr>
        <w:numPr>
          <w:ilvl w:val="0"/>
          <w:numId w:val="1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Applicants must be nonprofit corporations or governmental entities.</w:t>
      </w:r>
    </w:p>
    <w:p w14:paraId="5D170F49" w14:textId="77777777" w:rsidR="00BC599D" w:rsidRPr="006B65BD" w:rsidRDefault="00BC599D" w:rsidP="00646198">
      <w:pPr>
        <w:numPr>
          <w:ilvl w:val="0"/>
          <w:numId w:val="1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Applicants may propose to provide services as a single entity or as a multi-agency collaboration, but a single entity from the collaboration must serve as Applicant, Lead Agency, and Fiscal Agent.</w:t>
      </w:r>
    </w:p>
    <w:p w14:paraId="58B25EA0" w14:textId="2A5CE2C3" w:rsidR="00BC599D" w:rsidRPr="006B65BD" w:rsidRDefault="00BC599D" w:rsidP="00646198">
      <w:pPr>
        <w:numPr>
          <w:ilvl w:val="0"/>
          <w:numId w:val="1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Applicants must have successful experience providing the proposed </w:t>
      </w:r>
      <w:r w:rsidR="00347555">
        <w:rPr>
          <w:rFonts w:asciiTheme="minorHAnsi" w:eastAsia="Times New Roman" w:hAnsiTheme="minorHAnsi" w:cstheme="minorHAnsi"/>
          <w:sz w:val="24"/>
          <w:szCs w:val="24"/>
        </w:rPr>
        <w:t xml:space="preserve">or similar </w:t>
      </w:r>
      <w:r w:rsidRPr="006B65BD">
        <w:rPr>
          <w:rFonts w:asciiTheme="minorHAnsi" w:eastAsia="Times New Roman" w:hAnsiTheme="minorHAnsi" w:cstheme="minorHAnsi"/>
          <w:sz w:val="24"/>
          <w:szCs w:val="24"/>
        </w:rPr>
        <w:t>services</w:t>
      </w:r>
      <w:r w:rsidR="00347555">
        <w:rPr>
          <w:rFonts w:asciiTheme="minorHAnsi" w:eastAsia="Times New Roman" w:hAnsiTheme="minorHAnsi" w:cstheme="minorHAnsi"/>
          <w:sz w:val="24"/>
          <w:szCs w:val="24"/>
        </w:rPr>
        <w:t>.</w:t>
      </w:r>
    </w:p>
    <w:p w14:paraId="4DE50AAC" w14:textId="04CB0034" w:rsidR="00BC599D" w:rsidRPr="006B65BD" w:rsidRDefault="00BC599D" w:rsidP="00646198">
      <w:pPr>
        <w:numPr>
          <w:ilvl w:val="0"/>
          <w:numId w:val="1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Applicants must have successful experience providing services to the Application’s proposed target population(s), </w:t>
      </w:r>
      <w:r w:rsidR="000646FB">
        <w:rPr>
          <w:rFonts w:asciiTheme="minorHAnsi" w:eastAsia="Times New Roman" w:hAnsiTheme="minorHAnsi" w:cstheme="minorHAnsi"/>
          <w:sz w:val="24"/>
          <w:szCs w:val="24"/>
        </w:rPr>
        <w:t>or must describe culturally and linguistically appropriate cooperative relationships and/or s</w:t>
      </w:r>
      <w:r w:rsidR="000646FB" w:rsidRPr="000646FB">
        <w:rPr>
          <w:rFonts w:asciiTheme="minorHAnsi" w:eastAsia="Times New Roman" w:hAnsiTheme="minorHAnsi" w:cstheme="minorHAnsi"/>
          <w:sz w:val="24"/>
          <w:szCs w:val="24"/>
        </w:rPr>
        <w:t>trategies the Applicant will implement to serve the new target population(s).</w:t>
      </w:r>
    </w:p>
    <w:p w14:paraId="5D2DBC53" w14:textId="7AC8D55C" w:rsidR="004038D2" w:rsidRPr="0061799B" w:rsidRDefault="00BC599D" w:rsidP="00646198">
      <w:pPr>
        <w:numPr>
          <w:ilvl w:val="0"/>
          <w:numId w:val="12"/>
        </w:numPr>
        <w:spacing w:after="0" w:line="240" w:lineRule="auto"/>
        <w:rPr>
          <w:rFonts w:asciiTheme="minorHAnsi" w:eastAsia="Times New Roman" w:hAnsiTheme="minorHAnsi" w:cstheme="minorHAnsi"/>
          <w:sz w:val="24"/>
          <w:szCs w:val="24"/>
        </w:rPr>
      </w:pPr>
      <w:r w:rsidRPr="0061799B">
        <w:rPr>
          <w:rFonts w:asciiTheme="minorHAnsi" w:eastAsia="Times New Roman" w:hAnsiTheme="minorHAnsi" w:cstheme="minorHAnsi"/>
          <w:sz w:val="24"/>
          <w:szCs w:val="24"/>
        </w:rPr>
        <w:t>Applicants must have exper</w:t>
      </w:r>
      <w:r w:rsidR="00347555" w:rsidRPr="0061799B">
        <w:rPr>
          <w:rFonts w:asciiTheme="minorHAnsi" w:eastAsia="Times New Roman" w:hAnsiTheme="minorHAnsi" w:cstheme="minorHAnsi"/>
          <w:sz w:val="24"/>
          <w:szCs w:val="24"/>
        </w:rPr>
        <w:t>ience</w:t>
      </w:r>
      <w:r w:rsidRPr="0061799B">
        <w:rPr>
          <w:rFonts w:asciiTheme="minorHAnsi" w:eastAsia="Times New Roman" w:hAnsiTheme="minorHAnsi" w:cstheme="minorHAnsi"/>
          <w:sz w:val="24"/>
          <w:szCs w:val="24"/>
        </w:rPr>
        <w:t xml:space="preserve"> working with PLWH and populations at increased risk of</w:t>
      </w:r>
      <w:r w:rsidRPr="006B65BD">
        <w:rPr>
          <w:rFonts w:asciiTheme="minorHAnsi" w:eastAsia="Times New Roman" w:hAnsiTheme="minorHAnsi" w:cstheme="minorHAnsi"/>
          <w:sz w:val="24"/>
          <w:szCs w:val="24"/>
        </w:rPr>
        <w:t xml:space="preserve"> acquiring HIV</w:t>
      </w:r>
      <w:r w:rsidR="00347555">
        <w:rPr>
          <w:rFonts w:asciiTheme="minorHAnsi" w:eastAsia="Times New Roman" w:hAnsiTheme="minorHAnsi" w:cstheme="minorHAnsi"/>
          <w:sz w:val="24"/>
          <w:szCs w:val="24"/>
        </w:rPr>
        <w:t>.</w:t>
      </w:r>
    </w:p>
    <w:p w14:paraId="2D10DBB1" w14:textId="120F28AE" w:rsidR="00347555" w:rsidRDefault="00347555" w:rsidP="00347555">
      <w:pPr>
        <w:spacing w:after="0" w:line="240" w:lineRule="auto"/>
        <w:rPr>
          <w:rFonts w:asciiTheme="minorHAnsi" w:eastAsia="Times New Roman" w:hAnsiTheme="minorHAnsi" w:cstheme="minorHAnsi"/>
          <w:sz w:val="24"/>
          <w:szCs w:val="24"/>
          <w:highlight w:val="yellow"/>
        </w:rPr>
      </w:pPr>
    </w:p>
    <w:p w14:paraId="6A985940" w14:textId="356A9619" w:rsidR="0061799B" w:rsidRDefault="0061799B" w:rsidP="00347555">
      <w:pPr>
        <w:spacing w:after="0" w:line="240" w:lineRule="auto"/>
        <w:rPr>
          <w:rFonts w:asciiTheme="minorHAnsi" w:eastAsia="Times New Roman" w:hAnsiTheme="minorHAnsi" w:cstheme="minorHAnsi"/>
          <w:sz w:val="24"/>
          <w:szCs w:val="24"/>
          <w:highlight w:val="yellow"/>
        </w:rPr>
      </w:pPr>
    </w:p>
    <w:p w14:paraId="550D1C3D" w14:textId="1D0EB605" w:rsidR="0061799B" w:rsidRDefault="0061799B" w:rsidP="00347555">
      <w:pPr>
        <w:spacing w:after="0" w:line="240" w:lineRule="auto"/>
        <w:rPr>
          <w:rFonts w:asciiTheme="minorHAnsi" w:eastAsia="Times New Roman" w:hAnsiTheme="minorHAnsi" w:cstheme="minorHAnsi"/>
          <w:sz w:val="24"/>
          <w:szCs w:val="24"/>
          <w:highlight w:val="yellow"/>
        </w:rPr>
      </w:pPr>
    </w:p>
    <w:p w14:paraId="5869A599" w14:textId="7B8EEB27" w:rsidR="0061799B" w:rsidRDefault="0061799B" w:rsidP="00347555">
      <w:pPr>
        <w:spacing w:after="0" w:line="240" w:lineRule="auto"/>
        <w:rPr>
          <w:rFonts w:asciiTheme="minorHAnsi" w:eastAsia="Times New Roman" w:hAnsiTheme="minorHAnsi" w:cstheme="minorHAnsi"/>
          <w:sz w:val="24"/>
          <w:szCs w:val="24"/>
          <w:highlight w:val="yellow"/>
        </w:rPr>
      </w:pPr>
    </w:p>
    <w:p w14:paraId="34E03905" w14:textId="77777777" w:rsidR="0061799B" w:rsidRPr="006B65BD" w:rsidRDefault="0061799B" w:rsidP="00347555">
      <w:pPr>
        <w:spacing w:after="0" w:line="240" w:lineRule="auto"/>
        <w:rPr>
          <w:rFonts w:asciiTheme="minorHAnsi" w:eastAsia="Times New Roman" w:hAnsiTheme="minorHAnsi" w:cstheme="minorHAnsi"/>
          <w:sz w:val="24"/>
          <w:szCs w:val="24"/>
          <w:highlight w:val="yellow"/>
        </w:rPr>
      </w:pPr>
    </w:p>
    <w:p w14:paraId="2D31F5C6" w14:textId="77777777" w:rsidR="00BC599D" w:rsidRPr="006B65BD" w:rsidRDefault="00BC599D" w:rsidP="00BC599D">
      <w:pPr>
        <w:spacing w:after="0" w:line="240" w:lineRule="auto"/>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CLIENT ELIGIBILITY REQUIREMENTS</w:t>
      </w:r>
    </w:p>
    <w:p w14:paraId="70AE753C" w14:textId="77777777" w:rsidR="00BC599D" w:rsidRPr="006B65BD" w:rsidRDefault="00BC599D" w:rsidP="00BC599D">
      <w:pPr>
        <w:spacing w:after="0" w:line="240" w:lineRule="auto"/>
        <w:rPr>
          <w:rFonts w:asciiTheme="minorHAnsi" w:eastAsia="Times New Roman" w:hAnsiTheme="minorHAnsi" w:cstheme="minorHAnsi"/>
          <w:sz w:val="24"/>
          <w:szCs w:val="24"/>
        </w:rPr>
      </w:pPr>
    </w:p>
    <w:p w14:paraId="6FD4637F" w14:textId="4198977E" w:rsidR="00BC599D" w:rsidRPr="006B65BD" w:rsidRDefault="00BC599D" w:rsidP="00BC599D">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All individuals served must be residents of the City of Austin Full Purpose Jurisdiction and/or Travis County.</w:t>
      </w:r>
      <w:r w:rsidR="00A45765">
        <w:rPr>
          <w:rFonts w:asciiTheme="minorHAnsi" w:eastAsia="Times New Roman" w:hAnsiTheme="minorHAnsi" w:cstheme="minorHAnsi"/>
          <w:sz w:val="24"/>
          <w:szCs w:val="24"/>
        </w:rPr>
        <w:t xml:space="preserve">  Special residency exceptions may be made for clients experiencing homelessness who are present in Austin and/or Travis County.</w:t>
      </w:r>
    </w:p>
    <w:p w14:paraId="41FA0422" w14:textId="77777777" w:rsidR="00BC599D" w:rsidRPr="006B65BD" w:rsidRDefault="00BC599D" w:rsidP="00BC599D">
      <w:pPr>
        <w:spacing w:after="0" w:line="240" w:lineRule="auto"/>
        <w:rPr>
          <w:rFonts w:asciiTheme="minorHAnsi" w:eastAsia="Times New Roman" w:hAnsiTheme="minorHAnsi" w:cstheme="minorHAnsi"/>
          <w:sz w:val="24"/>
          <w:szCs w:val="24"/>
        </w:rPr>
      </w:pPr>
    </w:p>
    <w:p w14:paraId="2F7D7614" w14:textId="2C441C32" w:rsidR="00BC599D" w:rsidRPr="006B65BD" w:rsidRDefault="00BC599D" w:rsidP="00BC599D">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lastRenderedPageBreak/>
        <w:t>All clients, other than</w:t>
      </w:r>
      <w:r w:rsidR="00986045">
        <w:rPr>
          <w:rFonts w:asciiTheme="minorHAnsi" w:eastAsia="Times New Roman" w:hAnsiTheme="minorHAnsi" w:cstheme="minorHAnsi"/>
          <w:sz w:val="24"/>
          <w:szCs w:val="24"/>
        </w:rPr>
        <w:t xml:space="preserve"> </w:t>
      </w:r>
      <w:r w:rsidRPr="006B65BD">
        <w:rPr>
          <w:rFonts w:asciiTheme="minorHAnsi" w:eastAsia="Times New Roman" w:hAnsiTheme="minorHAnsi" w:cstheme="minorHAnsi"/>
          <w:sz w:val="24"/>
          <w:szCs w:val="24"/>
        </w:rPr>
        <w:t>specifically targeted populations in an Early Inte</w:t>
      </w:r>
      <w:r w:rsidR="00986045">
        <w:rPr>
          <w:rFonts w:asciiTheme="minorHAnsi" w:eastAsia="Times New Roman" w:hAnsiTheme="minorHAnsi" w:cstheme="minorHAnsi"/>
          <w:sz w:val="24"/>
          <w:szCs w:val="24"/>
        </w:rPr>
        <w:t>rvention Services program, must have documentation of positive HIV status.</w:t>
      </w:r>
    </w:p>
    <w:p w14:paraId="7B279C0D" w14:textId="77777777" w:rsidR="00BC599D" w:rsidRPr="006B65BD" w:rsidRDefault="00BC599D" w:rsidP="00BC599D">
      <w:pPr>
        <w:spacing w:after="0" w:line="240" w:lineRule="auto"/>
        <w:rPr>
          <w:rFonts w:asciiTheme="minorHAnsi" w:eastAsia="Times New Roman" w:hAnsiTheme="minorHAnsi" w:cstheme="minorHAnsi"/>
          <w:sz w:val="24"/>
          <w:szCs w:val="24"/>
        </w:rPr>
      </w:pPr>
    </w:p>
    <w:p w14:paraId="399AA72B" w14:textId="142360DB" w:rsidR="00BC599D" w:rsidRPr="006B65BD" w:rsidRDefault="00BC599D" w:rsidP="00BC599D">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Additional eligibility criteria are listed in Form </w:t>
      </w:r>
      <w:r w:rsidR="00986045">
        <w:rPr>
          <w:rFonts w:asciiTheme="minorHAnsi" w:eastAsia="Times New Roman" w:hAnsiTheme="minorHAnsi" w:cstheme="minorHAnsi"/>
          <w:sz w:val="24"/>
          <w:szCs w:val="24"/>
        </w:rPr>
        <w:t>H-7</w:t>
      </w:r>
      <w:r w:rsidRPr="006B65BD">
        <w:rPr>
          <w:rFonts w:asciiTheme="minorHAnsi" w:eastAsia="Times New Roman" w:hAnsiTheme="minorHAnsi" w:cstheme="minorHAnsi"/>
          <w:sz w:val="24"/>
          <w:szCs w:val="24"/>
        </w:rPr>
        <w:t xml:space="preserve"> – </w:t>
      </w:r>
      <w:r w:rsidR="00A0414B">
        <w:rPr>
          <w:rFonts w:asciiTheme="minorHAnsi" w:eastAsia="Times New Roman" w:hAnsiTheme="minorHAnsi" w:cstheme="minorHAnsi"/>
          <w:sz w:val="24"/>
          <w:szCs w:val="24"/>
        </w:rPr>
        <w:t>CLIENT ELIGIBILITY REQUIREMENTS</w:t>
      </w:r>
      <w:r w:rsidRPr="006B65BD">
        <w:rPr>
          <w:rFonts w:asciiTheme="minorHAnsi" w:eastAsia="Times New Roman" w:hAnsiTheme="minorHAnsi" w:cstheme="minorHAnsi"/>
          <w:sz w:val="24"/>
          <w:szCs w:val="24"/>
        </w:rPr>
        <w:t>.  Alternative eligibility requirements, such as those specified in APH’s RWHAP Client Eligibility Policy and Procedures, may be proposed by the Applicant</w:t>
      </w:r>
      <w:r w:rsidR="00A0414B">
        <w:rPr>
          <w:rFonts w:asciiTheme="minorHAnsi" w:eastAsia="Times New Roman" w:hAnsiTheme="minorHAnsi" w:cstheme="minorHAnsi"/>
          <w:sz w:val="24"/>
          <w:szCs w:val="24"/>
        </w:rPr>
        <w:t>, but Residency and HIV Status, other than the exception described above, may not be changed.</w:t>
      </w:r>
      <w:r w:rsidR="00986045">
        <w:rPr>
          <w:rFonts w:asciiTheme="minorHAnsi" w:eastAsia="Times New Roman" w:hAnsiTheme="minorHAnsi" w:cstheme="minorHAnsi"/>
          <w:sz w:val="24"/>
          <w:szCs w:val="24"/>
        </w:rPr>
        <w:t xml:space="preserve">  </w:t>
      </w:r>
      <w:r w:rsidRPr="006B65BD">
        <w:rPr>
          <w:rFonts w:asciiTheme="minorHAnsi" w:eastAsia="Times New Roman" w:hAnsiTheme="minorHAnsi" w:cstheme="minorHAnsi"/>
          <w:sz w:val="24"/>
          <w:szCs w:val="24"/>
        </w:rPr>
        <w:t xml:space="preserve">Contact the </w:t>
      </w:r>
      <w:r w:rsidR="00A0414B">
        <w:rPr>
          <w:rFonts w:asciiTheme="minorHAnsi" w:eastAsia="Times New Roman" w:hAnsiTheme="minorHAnsi" w:cstheme="minorHAnsi"/>
          <w:sz w:val="24"/>
          <w:szCs w:val="24"/>
        </w:rPr>
        <w:t xml:space="preserve">Authorized Contact Person </w:t>
      </w:r>
      <w:r w:rsidRPr="006B65BD">
        <w:rPr>
          <w:rFonts w:asciiTheme="minorHAnsi" w:eastAsia="Times New Roman" w:hAnsiTheme="minorHAnsi" w:cstheme="minorHAnsi"/>
          <w:sz w:val="24"/>
          <w:szCs w:val="24"/>
        </w:rPr>
        <w:t xml:space="preserve">for this solicitation to obtain APH’s RWHAP Client Eligibility Policy and Procedures.  </w:t>
      </w:r>
    </w:p>
    <w:p w14:paraId="4DA7ADCD" w14:textId="77777777" w:rsidR="00BC599D" w:rsidRPr="006B65BD" w:rsidRDefault="00BC599D" w:rsidP="00E64B78">
      <w:pPr>
        <w:widowControl w:val="0"/>
        <w:spacing w:after="0" w:line="240" w:lineRule="auto"/>
        <w:jc w:val="both"/>
        <w:rPr>
          <w:rFonts w:asciiTheme="minorHAnsi" w:eastAsia="Times New Roman" w:hAnsiTheme="minorHAnsi" w:cstheme="minorHAnsi"/>
          <w:b/>
          <w:sz w:val="24"/>
          <w:szCs w:val="24"/>
          <w:u w:val="single"/>
        </w:rPr>
      </w:pPr>
    </w:p>
    <w:p w14:paraId="3E9EB589" w14:textId="77777777" w:rsidR="00E64B78" w:rsidRPr="006B65BD" w:rsidRDefault="00E64B78" w:rsidP="00E64B78">
      <w:pPr>
        <w:widowControl w:val="0"/>
        <w:spacing w:after="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TARGETED POPULATIONS</w:t>
      </w:r>
    </w:p>
    <w:p w14:paraId="69A72C7F" w14:textId="77777777" w:rsidR="00E64B78" w:rsidRPr="006B65BD" w:rsidRDefault="00E64B78" w:rsidP="00E64B78">
      <w:pPr>
        <w:widowControl w:val="0"/>
        <w:spacing w:after="0" w:line="240" w:lineRule="auto"/>
        <w:jc w:val="both"/>
        <w:rPr>
          <w:rFonts w:asciiTheme="minorHAnsi" w:eastAsia="Times New Roman" w:hAnsiTheme="minorHAnsi" w:cstheme="minorHAnsi"/>
          <w:sz w:val="24"/>
          <w:szCs w:val="24"/>
        </w:rPr>
      </w:pPr>
    </w:p>
    <w:p w14:paraId="4D62FB46" w14:textId="77777777" w:rsidR="00E64B78" w:rsidRPr="006B65BD" w:rsidRDefault="00E64B78" w:rsidP="00E64B78">
      <w:pPr>
        <w:widowControl w:val="0"/>
        <w:spacing w:after="0" w:line="240" w:lineRule="auto"/>
        <w:jc w:val="both"/>
        <w:rPr>
          <w:rFonts w:asciiTheme="minorHAnsi" w:eastAsia="Times New Roman" w:hAnsiTheme="minorHAnsi" w:cstheme="minorHAnsi"/>
          <w:sz w:val="24"/>
          <w:szCs w:val="24"/>
          <w:highlight w:val="yellow"/>
        </w:rPr>
      </w:pPr>
      <w:r w:rsidRPr="006B65BD">
        <w:rPr>
          <w:rFonts w:asciiTheme="minorHAnsi" w:eastAsia="Times New Roman" w:hAnsiTheme="minorHAnsi" w:cstheme="minorHAnsi"/>
          <w:sz w:val="24"/>
          <w:szCs w:val="24"/>
        </w:rPr>
        <w:t>Applicants must identify one or more of the following target populations to which services will be designed and provided:</w:t>
      </w:r>
      <w:r w:rsidRPr="006B65BD">
        <w:rPr>
          <w:rFonts w:asciiTheme="minorHAnsi" w:eastAsia="Times New Roman" w:hAnsiTheme="minorHAnsi" w:cstheme="minorHAnsi"/>
          <w:sz w:val="24"/>
          <w:szCs w:val="24"/>
          <w:highlight w:val="yellow"/>
        </w:rPr>
        <w:t xml:space="preserve"> </w:t>
      </w:r>
    </w:p>
    <w:p w14:paraId="694E7EEC" w14:textId="77777777" w:rsidR="00E64B78" w:rsidRPr="006B65BD" w:rsidRDefault="00E64B78" w:rsidP="00E64B78">
      <w:pPr>
        <w:widowControl w:val="0"/>
        <w:spacing w:after="0" w:line="240" w:lineRule="auto"/>
        <w:jc w:val="both"/>
        <w:rPr>
          <w:rFonts w:asciiTheme="minorHAnsi" w:eastAsia="Times New Roman" w:hAnsiTheme="minorHAnsi" w:cstheme="minorHAnsi"/>
          <w:sz w:val="24"/>
          <w:szCs w:val="24"/>
          <w:highlight w:val="yellow"/>
        </w:rPr>
      </w:pPr>
    </w:p>
    <w:p w14:paraId="0368236B"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African American/Black individuals</w:t>
      </w:r>
    </w:p>
    <w:p w14:paraId="4D2360C4"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Hispanic/Latinx individuals </w:t>
      </w:r>
    </w:p>
    <w:p w14:paraId="61440F13"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Transgender Individuals</w:t>
      </w:r>
    </w:p>
    <w:p w14:paraId="0B033DDF"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Youth aged 18-24</w:t>
      </w:r>
    </w:p>
    <w:p w14:paraId="1669520E"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People who are experiencing homelessness</w:t>
      </w:r>
    </w:p>
    <w:p w14:paraId="617DA5D8"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Recently released/ex-offenders</w:t>
      </w:r>
    </w:p>
    <w:p w14:paraId="2C50499A"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People experiencing substance use issues (e.g., injection drug users)</w:t>
      </w:r>
    </w:p>
    <w:p w14:paraId="1F2475A2" w14:textId="77777777" w:rsidR="00E64B78" w:rsidRPr="006B65BD" w:rsidRDefault="00E64B78" w:rsidP="00646198">
      <w:pPr>
        <w:widowControl w:val="0"/>
        <w:numPr>
          <w:ilvl w:val="0"/>
          <w:numId w:val="3"/>
        </w:numPr>
        <w:spacing w:after="0" w:line="240" w:lineRule="auto"/>
        <w:jc w:val="both"/>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Veterans</w:t>
      </w:r>
    </w:p>
    <w:p w14:paraId="4E26B47A" w14:textId="77777777" w:rsidR="00BC599D" w:rsidRPr="006B65BD" w:rsidRDefault="00BC599D" w:rsidP="004038D2">
      <w:pPr>
        <w:tabs>
          <w:tab w:val="left" w:pos="630"/>
        </w:tabs>
        <w:spacing w:after="0" w:line="240" w:lineRule="auto"/>
        <w:jc w:val="both"/>
        <w:rPr>
          <w:rFonts w:asciiTheme="minorHAnsi" w:eastAsia="Times New Roman" w:hAnsiTheme="minorHAnsi" w:cstheme="minorHAnsi"/>
          <w:b/>
          <w:sz w:val="24"/>
          <w:szCs w:val="24"/>
          <w:u w:val="single"/>
        </w:rPr>
      </w:pPr>
    </w:p>
    <w:p w14:paraId="088466B3" w14:textId="77777777" w:rsidR="004038D2" w:rsidRPr="006B65BD" w:rsidRDefault="00B66BE3" w:rsidP="004038D2">
      <w:pPr>
        <w:tabs>
          <w:tab w:val="left" w:pos="630"/>
        </w:tabs>
        <w:spacing w:after="0" w:line="240" w:lineRule="auto"/>
        <w:jc w:val="both"/>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 xml:space="preserve">TERM AND </w:t>
      </w:r>
      <w:r w:rsidR="004038D2" w:rsidRPr="006B65BD">
        <w:rPr>
          <w:rFonts w:asciiTheme="minorHAnsi" w:eastAsia="Times New Roman" w:hAnsiTheme="minorHAnsi" w:cstheme="minorHAnsi"/>
          <w:b/>
          <w:sz w:val="24"/>
          <w:szCs w:val="24"/>
          <w:u w:val="single"/>
        </w:rPr>
        <w:t>FUNDING</w:t>
      </w:r>
    </w:p>
    <w:p w14:paraId="5A64897D" w14:textId="77777777" w:rsidR="006359DC" w:rsidRPr="006B65BD" w:rsidRDefault="006359DC" w:rsidP="004038D2">
      <w:pPr>
        <w:tabs>
          <w:tab w:val="left" w:pos="630"/>
        </w:tabs>
        <w:spacing w:after="0" w:line="240" w:lineRule="auto"/>
        <w:jc w:val="both"/>
        <w:rPr>
          <w:rFonts w:asciiTheme="minorHAnsi" w:eastAsia="Times New Roman" w:hAnsiTheme="minorHAnsi" w:cstheme="minorHAnsi"/>
          <w:b/>
          <w:sz w:val="24"/>
          <w:szCs w:val="24"/>
          <w:u w:val="single"/>
        </w:rPr>
      </w:pPr>
    </w:p>
    <w:p w14:paraId="5DFB5D8B" w14:textId="77777777" w:rsidR="00E27BA4" w:rsidRPr="006B65BD" w:rsidRDefault="00B66BE3" w:rsidP="00646198">
      <w:pPr>
        <w:numPr>
          <w:ilvl w:val="0"/>
          <w:numId w:val="8"/>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Contracts are anticipated to be awarded for an initial 42-month period, from April 1, 2019 through September 30, 2022, with two 12-month extension options.</w:t>
      </w:r>
    </w:p>
    <w:p w14:paraId="0F40953C" w14:textId="3D11BCE9" w:rsidR="00556672" w:rsidRPr="006B65BD" w:rsidRDefault="009273D6" w:rsidP="00646198">
      <w:pPr>
        <w:numPr>
          <w:ilvl w:val="0"/>
          <w:numId w:val="8"/>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Total </w:t>
      </w:r>
      <w:r w:rsidR="00054679">
        <w:rPr>
          <w:rFonts w:asciiTheme="minorHAnsi" w:eastAsia="Times New Roman" w:hAnsiTheme="minorHAnsi" w:cstheme="minorHAnsi"/>
          <w:sz w:val="24"/>
          <w:szCs w:val="24"/>
        </w:rPr>
        <w:t xml:space="preserve">annual </w:t>
      </w:r>
      <w:r>
        <w:rPr>
          <w:rFonts w:asciiTheme="minorHAnsi" w:eastAsia="Times New Roman" w:hAnsiTheme="minorHAnsi" w:cstheme="minorHAnsi"/>
          <w:sz w:val="24"/>
          <w:szCs w:val="24"/>
        </w:rPr>
        <w:t xml:space="preserve">funding of </w:t>
      </w:r>
      <w:r w:rsidR="00054679" w:rsidRPr="006B65BD">
        <w:rPr>
          <w:rFonts w:asciiTheme="minorHAnsi" w:eastAsia="Times New Roman" w:hAnsiTheme="minorHAnsi" w:cstheme="minorHAnsi"/>
          <w:sz w:val="24"/>
          <w:szCs w:val="24"/>
        </w:rPr>
        <w:t xml:space="preserve">$630,192 </w:t>
      </w:r>
      <w:r w:rsidR="00054679">
        <w:rPr>
          <w:rFonts w:asciiTheme="minorHAnsi" w:eastAsia="Times New Roman" w:hAnsiTheme="minorHAnsi" w:cstheme="minorHAnsi"/>
          <w:sz w:val="24"/>
          <w:szCs w:val="24"/>
        </w:rPr>
        <w:t>i</w:t>
      </w:r>
      <w:r w:rsidR="00B66BE3" w:rsidRPr="006B65BD">
        <w:rPr>
          <w:rFonts w:asciiTheme="minorHAnsi" w:eastAsia="Times New Roman" w:hAnsiTheme="minorHAnsi" w:cstheme="minorHAnsi"/>
          <w:sz w:val="24"/>
          <w:szCs w:val="24"/>
        </w:rPr>
        <w:t xml:space="preserve">s </w:t>
      </w:r>
      <w:r w:rsidR="00E27BA4" w:rsidRPr="006B65BD">
        <w:rPr>
          <w:rFonts w:asciiTheme="minorHAnsi" w:eastAsia="Times New Roman" w:hAnsiTheme="minorHAnsi" w:cstheme="minorHAnsi"/>
          <w:sz w:val="24"/>
          <w:szCs w:val="24"/>
        </w:rPr>
        <w:t xml:space="preserve">expected to be </w:t>
      </w:r>
      <w:r w:rsidR="00556672" w:rsidRPr="006B65BD">
        <w:rPr>
          <w:rFonts w:asciiTheme="minorHAnsi" w:eastAsia="Times New Roman" w:hAnsiTheme="minorHAnsi" w:cstheme="minorHAnsi"/>
          <w:sz w:val="24"/>
          <w:szCs w:val="24"/>
        </w:rPr>
        <w:t xml:space="preserve">available for </w:t>
      </w:r>
      <w:r w:rsidR="00054679">
        <w:rPr>
          <w:rFonts w:asciiTheme="minorHAnsi" w:eastAsia="Times New Roman" w:hAnsiTheme="minorHAnsi" w:cstheme="minorHAnsi"/>
          <w:sz w:val="24"/>
          <w:szCs w:val="24"/>
        </w:rPr>
        <w:t xml:space="preserve">each 12-month period of the initial contract term, with half that amount available for the initial </w:t>
      </w:r>
      <w:r w:rsidR="00DA2F86" w:rsidRPr="006B65BD">
        <w:rPr>
          <w:rFonts w:asciiTheme="minorHAnsi" w:eastAsia="Times New Roman" w:hAnsiTheme="minorHAnsi" w:cstheme="minorHAnsi"/>
          <w:sz w:val="24"/>
          <w:szCs w:val="24"/>
        </w:rPr>
        <w:t>six</w:t>
      </w:r>
      <w:r w:rsidR="00054679">
        <w:rPr>
          <w:rFonts w:asciiTheme="minorHAnsi" w:eastAsia="Times New Roman" w:hAnsiTheme="minorHAnsi" w:cstheme="minorHAnsi"/>
          <w:sz w:val="24"/>
          <w:szCs w:val="24"/>
        </w:rPr>
        <w:t xml:space="preserve"> </w:t>
      </w:r>
      <w:r w:rsidR="00556672" w:rsidRPr="006B65BD">
        <w:rPr>
          <w:rFonts w:asciiTheme="minorHAnsi" w:eastAsia="Times New Roman" w:hAnsiTheme="minorHAnsi" w:cstheme="minorHAnsi"/>
          <w:sz w:val="24"/>
          <w:szCs w:val="24"/>
        </w:rPr>
        <w:t>month</w:t>
      </w:r>
      <w:r w:rsidR="00054679">
        <w:rPr>
          <w:rFonts w:asciiTheme="minorHAnsi" w:eastAsia="Times New Roman" w:hAnsiTheme="minorHAnsi" w:cstheme="minorHAnsi"/>
          <w:sz w:val="24"/>
          <w:szCs w:val="24"/>
        </w:rPr>
        <w:t xml:space="preserve">s of </w:t>
      </w:r>
      <w:r w:rsidR="00050A09">
        <w:rPr>
          <w:rFonts w:asciiTheme="minorHAnsi" w:eastAsia="Times New Roman" w:hAnsiTheme="minorHAnsi" w:cstheme="minorHAnsi"/>
          <w:sz w:val="24"/>
          <w:szCs w:val="24"/>
        </w:rPr>
        <w:t>the contract</w:t>
      </w:r>
      <w:r w:rsidR="00054679">
        <w:rPr>
          <w:rFonts w:asciiTheme="minorHAnsi" w:eastAsia="Times New Roman" w:hAnsiTheme="minorHAnsi" w:cstheme="minorHAnsi"/>
          <w:sz w:val="24"/>
          <w:szCs w:val="24"/>
        </w:rPr>
        <w:t xml:space="preserve"> period.  </w:t>
      </w:r>
      <w:r w:rsidR="00B66BE3" w:rsidRPr="006B65BD">
        <w:rPr>
          <w:rFonts w:asciiTheme="minorHAnsi" w:eastAsia="Times New Roman" w:hAnsiTheme="minorHAnsi" w:cstheme="minorHAnsi"/>
          <w:sz w:val="24"/>
          <w:szCs w:val="24"/>
        </w:rPr>
        <w:t>All awards are contingent upon annual funding appropriations by the Austin City Council.</w:t>
      </w:r>
    </w:p>
    <w:p w14:paraId="3BA9DC50" w14:textId="61C405C5" w:rsidR="00E27BA4" w:rsidRPr="006B65BD" w:rsidRDefault="00DA2F86" w:rsidP="00646198">
      <w:pPr>
        <w:numPr>
          <w:ilvl w:val="0"/>
          <w:numId w:val="8"/>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Applicants must request a minimum of </w:t>
      </w:r>
      <w:r w:rsidR="00E27BA4" w:rsidRPr="006B65BD">
        <w:rPr>
          <w:rFonts w:asciiTheme="minorHAnsi" w:eastAsia="Times New Roman" w:hAnsiTheme="minorHAnsi" w:cstheme="minorHAnsi"/>
          <w:sz w:val="24"/>
          <w:szCs w:val="24"/>
        </w:rPr>
        <w:t>$50,000</w:t>
      </w:r>
      <w:r w:rsidRPr="006B65BD">
        <w:rPr>
          <w:rFonts w:asciiTheme="minorHAnsi" w:eastAsia="Times New Roman" w:hAnsiTheme="minorHAnsi" w:cstheme="minorHAnsi"/>
          <w:sz w:val="24"/>
          <w:szCs w:val="24"/>
        </w:rPr>
        <w:t xml:space="preserve"> per Application</w:t>
      </w:r>
      <w:r w:rsidR="00050A09">
        <w:rPr>
          <w:rFonts w:asciiTheme="minorHAnsi" w:eastAsia="Times New Roman" w:hAnsiTheme="minorHAnsi" w:cstheme="minorHAnsi"/>
          <w:sz w:val="24"/>
          <w:szCs w:val="24"/>
        </w:rPr>
        <w:t>/Service Category</w:t>
      </w:r>
      <w:r w:rsidR="00E27BA4" w:rsidRPr="006B65BD">
        <w:rPr>
          <w:rFonts w:asciiTheme="minorHAnsi" w:eastAsia="Times New Roman" w:hAnsiTheme="minorHAnsi" w:cstheme="minorHAnsi"/>
          <w:sz w:val="24"/>
          <w:szCs w:val="24"/>
        </w:rPr>
        <w:t xml:space="preserve">.  </w:t>
      </w:r>
    </w:p>
    <w:p w14:paraId="7E75C7C5" w14:textId="2AEBBBEC" w:rsidR="006359DC" w:rsidRDefault="006359DC" w:rsidP="00835F6F">
      <w:pPr>
        <w:spacing w:after="0" w:line="240" w:lineRule="auto"/>
        <w:rPr>
          <w:rFonts w:asciiTheme="minorHAnsi" w:eastAsia="Times New Roman" w:hAnsiTheme="minorHAnsi" w:cstheme="minorHAnsi"/>
          <w:sz w:val="24"/>
          <w:szCs w:val="24"/>
        </w:rPr>
      </w:pPr>
    </w:p>
    <w:p w14:paraId="30951D95" w14:textId="559951CB" w:rsidR="0061799B" w:rsidRDefault="0061799B" w:rsidP="00835F6F">
      <w:pPr>
        <w:spacing w:after="0" w:line="240" w:lineRule="auto"/>
        <w:rPr>
          <w:rFonts w:asciiTheme="minorHAnsi" w:eastAsia="Times New Roman" w:hAnsiTheme="minorHAnsi" w:cstheme="minorHAnsi"/>
          <w:sz w:val="24"/>
          <w:szCs w:val="24"/>
        </w:rPr>
      </w:pPr>
    </w:p>
    <w:p w14:paraId="75E3C77D" w14:textId="77777777" w:rsidR="0061799B" w:rsidRDefault="0061799B" w:rsidP="00835F6F">
      <w:pPr>
        <w:spacing w:after="0" w:line="240" w:lineRule="auto"/>
        <w:rPr>
          <w:rFonts w:asciiTheme="minorHAnsi" w:eastAsia="Times New Roman" w:hAnsiTheme="minorHAnsi" w:cstheme="minorHAnsi"/>
          <w:sz w:val="24"/>
          <w:szCs w:val="24"/>
        </w:rPr>
      </w:pPr>
    </w:p>
    <w:p w14:paraId="0718D4BE" w14:textId="77777777" w:rsidR="00CB5E34" w:rsidRDefault="00CB5E34" w:rsidP="00835F6F">
      <w:pPr>
        <w:spacing w:after="0" w:line="240" w:lineRule="auto"/>
        <w:rPr>
          <w:rFonts w:asciiTheme="minorHAnsi" w:eastAsia="Times New Roman" w:hAnsiTheme="minorHAnsi" w:cstheme="minorHAnsi"/>
          <w:sz w:val="24"/>
          <w:szCs w:val="24"/>
        </w:rPr>
      </w:pPr>
    </w:p>
    <w:p w14:paraId="5EA62868" w14:textId="74B0B89C" w:rsidR="00CB5E34" w:rsidRDefault="00CB5E34" w:rsidP="00835F6F">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u w:val="single"/>
        </w:rPr>
        <w:t>ADMINISTRATIVE COSTS AND INDIRECT COST RATE</w:t>
      </w:r>
    </w:p>
    <w:p w14:paraId="01EA7530" w14:textId="77777777" w:rsidR="00CB5E34" w:rsidRDefault="00CB5E34" w:rsidP="00835F6F">
      <w:pPr>
        <w:spacing w:after="0" w:line="240" w:lineRule="auto"/>
        <w:rPr>
          <w:rFonts w:asciiTheme="minorHAnsi" w:eastAsia="Times New Roman" w:hAnsiTheme="minorHAnsi" w:cstheme="minorHAnsi"/>
          <w:sz w:val="24"/>
          <w:szCs w:val="24"/>
        </w:rPr>
      </w:pPr>
    </w:p>
    <w:p w14:paraId="1A9E5834" w14:textId="52064DD9" w:rsidR="00CB5E34" w:rsidRDefault="00CB5E34" w:rsidP="00646198">
      <w:pPr>
        <w:pStyle w:val="ListParagraph"/>
        <w:numPr>
          <w:ilvl w:val="0"/>
          <w:numId w:val="16"/>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Administrative costs </w:t>
      </w:r>
      <w:r>
        <w:rPr>
          <w:rFonts w:asciiTheme="minorHAnsi" w:eastAsia="Times New Roman" w:hAnsiTheme="minorHAnsi" w:cstheme="minorHAnsi"/>
          <w:sz w:val="24"/>
          <w:szCs w:val="24"/>
          <w:u w:val="single"/>
        </w:rPr>
        <w:t>are not limited to 10% under this RFA</w:t>
      </w:r>
      <w:r>
        <w:rPr>
          <w:rFonts w:asciiTheme="minorHAnsi" w:eastAsia="Times New Roman" w:hAnsiTheme="minorHAnsi" w:cstheme="minorHAnsi"/>
          <w:sz w:val="24"/>
          <w:szCs w:val="24"/>
        </w:rPr>
        <w:t>.  However, the portion of the budget planned for Administrative Costs must be reasonable and justified.</w:t>
      </w:r>
    </w:p>
    <w:p w14:paraId="2A13D497" w14:textId="1025CE14" w:rsidR="00CB5E34" w:rsidRPr="00CB5E34" w:rsidRDefault="00CB5E34" w:rsidP="00646198">
      <w:pPr>
        <w:pStyle w:val="ListParagraph"/>
        <w:numPr>
          <w:ilvl w:val="0"/>
          <w:numId w:val="16"/>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The use of Indirect Cost Rate methodology is not permitted in Administrative Cost amounts for this RFA, nor will it be approved in budgets for contracts that are awarded.</w:t>
      </w:r>
    </w:p>
    <w:p w14:paraId="1D1CFEB6" w14:textId="77777777" w:rsidR="00CB5E34" w:rsidRPr="00CB5E34" w:rsidRDefault="00CB5E34" w:rsidP="00CB5E34">
      <w:pPr>
        <w:spacing w:after="0" w:line="240" w:lineRule="auto"/>
        <w:rPr>
          <w:rFonts w:asciiTheme="minorHAnsi" w:eastAsia="Times New Roman" w:hAnsiTheme="minorHAnsi" w:cstheme="minorHAnsi"/>
          <w:sz w:val="24"/>
          <w:szCs w:val="24"/>
        </w:rPr>
      </w:pPr>
    </w:p>
    <w:p w14:paraId="077DC130" w14:textId="77777777" w:rsidR="006359DC" w:rsidRPr="006B65BD" w:rsidRDefault="006359DC" w:rsidP="00835F6F">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rPr>
          <w:rFonts w:asciiTheme="minorHAnsi" w:eastAsia="Times New Roman" w:hAnsiTheme="minorHAnsi" w:cstheme="minorHAnsi"/>
          <w:b/>
          <w:sz w:val="28"/>
          <w:szCs w:val="24"/>
          <w:u w:val="single"/>
        </w:rPr>
      </w:pPr>
      <w:r w:rsidRPr="006B65BD">
        <w:rPr>
          <w:rFonts w:asciiTheme="minorHAnsi" w:eastAsia="Times New Roman" w:hAnsiTheme="minorHAnsi" w:cstheme="minorHAnsi"/>
          <w:b/>
          <w:sz w:val="24"/>
          <w:u w:val="single"/>
        </w:rPr>
        <w:t>APPLICATION EVALUATION</w:t>
      </w:r>
    </w:p>
    <w:p w14:paraId="7E690236" w14:textId="42575D8F" w:rsidR="006359DC" w:rsidRPr="006B65BD" w:rsidRDefault="006359DC"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color w:val="000000"/>
          <w:sz w:val="24"/>
          <w:szCs w:val="24"/>
        </w:rPr>
      </w:pPr>
      <w:r w:rsidRPr="006B65BD">
        <w:rPr>
          <w:rFonts w:asciiTheme="minorHAnsi" w:eastAsia="Times New Roman" w:hAnsiTheme="minorHAnsi" w:cstheme="minorHAnsi"/>
          <w:color w:val="000000"/>
          <w:sz w:val="24"/>
          <w:szCs w:val="24"/>
        </w:rPr>
        <w:t xml:space="preserve">Applicants must address each question in Sections I-VI and complete each required form in this solicitation to </w:t>
      </w:r>
      <w:r w:rsidRPr="006B65BD">
        <w:rPr>
          <w:rFonts w:asciiTheme="minorHAnsi" w:eastAsia="Times New Roman" w:hAnsiTheme="minorHAnsi" w:cstheme="minorHAnsi"/>
          <w:color w:val="000000"/>
          <w:sz w:val="24"/>
          <w:szCs w:val="24"/>
        </w:rPr>
        <w:lastRenderedPageBreak/>
        <w:t xml:space="preserve">be considered responsive to this RFA.  Part VII is optional and is not required in order for an application to be considered responsive.  A total of 100 points may be awarded to the application in Parts I-VI, with an additional five (5) bonus points available in Part VII, for a potential of 105 total evaluation points.  The maximum score per section is noted at the beginning of each section.  All applications will be evaluated as to how the proposed program aligns with the goals of this RFA, supports the outcome goals of the Getting To Zero/Fast Track Cities Strategies, and whether every question has been fully and adequately addressed. </w:t>
      </w:r>
    </w:p>
    <w:p w14:paraId="5C78789E" w14:textId="77777777" w:rsidR="00CB6DA4" w:rsidRPr="006B65BD" w:rsidRDefault="00CB6DA4" w:rsidP="00CB6DA4">
      <w:pPr>
        <w:spacing w:after="0" w:line="240" w:lineRule="auto"/>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MINIMUM SCORE REQUIREMENT</w:t>
      </w:r>
    </w:p>
    <w:p w14:paraId="14B822D6" w14:textId="48D5C5C0" w:rsidR="00CB6DA4" w:rsidRPr="006B65BD" w:rsidRDefault="00CB6DA4" w:rsidP="00CB6DA4">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No Application receiving a total score, including bonus points, of less than 70 will be considered for funding.</w:t>
      </w:r>
    </w:p>
    <w:p w14:paraId="1D86BF2A" w14:textId="77777777" w:rsidR="006359DC" w:rsidRPr="006B65BD" w:rsidRDefault="006359DC" w:rsidP="006359DC">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heme="minorHAnsi" w:eastAsia="Times New Roman" w:hAnsiTheme="minorHAnsi" w:cstheme="minorHAnsi"/>
          <w:b/>
          <w:color w:val="FF0000"/>
          <w:sz w:val="24"/>
          <w:szCs w:val="24"/>
        </w:rPr>
      </w:pPr>
    </w:p>
    <w:p w14:paraId="55607750" w14:textId="77777777" w:rsidR="006359DC" w:rsidRPr="006B65BD" w:rsidRDefault="006359DC" w:rsidP="006359DC">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color w:val="000000"/>
          <w:sz w:val="24"/>
          <w:szCs w:val="24"/>
          <w:u w:val="single"/>
        </w:rPr>
      </w:pPr>
      <w:r w:rsidRPr="006B65BD">
        <w:rPr>
          <w:rFonts w:asciiTheme="minorHAnsi" w:eastAsia="Times New Roman" w:hAnsiTheme="minorHAnsi" w:cstheme="minorHAnsi"/>
          <w:b/>
          <w:color w:val="000000"/>
          <w:sz w:val="24"/>
          <w:szCs w:val="24"/>
          <w:u w:val="single"/>
        </w:rPr>
        <w:t>APPLICATION FORMAT</w:t>
      </w:r>
    </w:p>
    <w:p w14:paraId="1F13CC48" w14:textId="2CAD0B9F" w:rsidR="00CB6DA4" w:rsidRPr="006B65BD" w:rsidRDefault="006359DC" w:rsidP="00CB6DA4">
      <w:p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Applicants must complete responses directly within the required forms.  Responses must be included for each question in Parts I-VI</w:t>
      </w:r>
      <w:r w:rsidR="009273D6">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 xml:space="preserve">  Applications that omit responses to questions may be deemed non-responsive and may not</w:t>
      </w:r>
      <w:r w:rsidR="003212A3">
        <w:rPr>
          <w:rFonts w:asciiTheme="minorHAnsi" w:eastAsia="Times New Roman" w:hAnsiTheme="minorHAnsi" w:cstheme="minorHAnsi"/>
          <w:sz w:val="24"/>
          <w:szCs w:val="24"/>
        </w:rPr>
        <w:t xml:space="preserve"> be</w:t>
      </w:r>
      <w:r w:rsidRPr="006B65BD">
        <w:rPr>
          <w:rFonts w:asciiTheme="minorHAnsi" w:eastAsia="Times New Roman" w:hAnsiTheme="minorHAnsi" w:cstheme="minorHAnsi"/>
          <w:sz w:val="24"/>
          <w:szCs w:val="24"/>
        </w:rPr>
        <w:t xml:space="preserve"> evaluated for score or award.  </w:t>
      </w:r>
      <w:r w:rsidR="00CB6DA4" w:rsidRPr="006B65BD">
        <w:rPr>
          <w:rFonts w:asciiTheme="minorHAnsi" w:eastAsia="Times New Roman" w:hAnsiTheme="minorHAnsi" w:cstheme="minorHAnsi"/>
          <w:sz w:val="24"/>
          <w:szCs w:val="24"/>
        </w:rPr>
        <w:t>Provide a response for each question.  If necessary, be repetitive rather than leaving an item blank or incomplete.</w:t>
      </w:r>
    </w:p>
    <w:p w14:paraId="70CE15B8" w14:textId="77777777" w:rsidR="006359DC" w:rsidRPr="006B65BD" w:rsidRDefault="006359DC"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p>
    <w:p w14:paraId="61383EBE" w14:textId="77777777" w:rsidR="006359DC" w:rsidRPr="006B65BD" w:rsidRDefault="006359DC"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Do not submit additional materials that are not requested within the solicitation documents.  This includes booklets, pamphlets, and other items.  Do not use covers, card stock, staples, binders, notebooks, or dividers with tabs.  Fasten the documents with binder clips only.</w:t>
      </w:r>
    </w:p>
    <w:p w14:paraId="333EF94C" w14:textId="3049995A" w:rsidR="00BC599D" w:rsidRDefault="00BC599D"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128CDB47" w14:textId="512DD21F"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65E2DD8E" w14:textId="23427340"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474C24AF" w14:textId="3B131D40"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6755F67E" w14:textId="600EF4CE"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38D25A47" w14:textId="170F3241"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3D0797A5" w14:textId="773BA567"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46454EB6" w14:textId="32C09D03"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22543DE1" w14:textId="21B53EC0"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4135115C" w14:textId="2F25C76A" w:rsidR="00DE25B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575FFAE8" w14:textId="77777777" w:rsidR="00DE25B5" w:rsidRPr="00AE4875" w:rsidRDefault="00DE25B5"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u w:val="single"/>
        </w:rPr>
      </w:pPr>
    </w:p>
    <w:p w14:paraId="3DE67DB1" w14:textId="2CB8EA7E" w:rsidR="00BC599D" w:rsidRPr="006B65BD" w:rsidRDefault="00917483"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Pr>
          <w:rFonts w:asciiTheme="minorHAnsi" w:eastAsia="Times New Roman" w:hAnsiTheme="minorHAnsi" w:cstheme="minorHAnsi"/>
          <w:b/>
          <w:sz w:val="24"/>
          <w:szCs w:val="24"/>
          <w:u w:val="single"/>
        </w:rPr>
        <w:t>IMPORTANT</w:t>
      </w:r>
      <w:r w:rsidR="00421B91" w:rsidRPr="006B65BD">
        <w:rPr>
          <w:rFonts w:asciiTheme="minorHAnsi" w:eastAsia="Times New Roman" w:hAnsiTheme="minorHAnsi" w:cstheme="minorHAnsi"/>
          <w:b/>
          <w:sz w:val="24"/>
          <w:szCs w:val="24"/>
          <w:u w:val="single"/>
        </w:rPr>
        <w:t xml:space="preserve"> </w:t>
      </w:r>
      <w:r w:rsidR="00BC599D" w:rsidRPr="006B65BD">
        <w:rPr>
          <w:rFonts w:asciiTheme="minorHAnsi" w:eastAsia="Times New Roman" w:hAnsiTheme="minorHAnsi" w:cstheme="minorHAnsi"/>
          <w:b/>
          <w:sz w:val="24"/>
          <w:szCs w:val="24"/>
          <w:u w:val="single"/>
        </w:rPr>
        <w:t>TERMS AND CONDITIONS</w:t>
      </w:r>
    </w:p>
    <w:p w14:paraId="0F7BA0CD" w14:textId="77777777" w:rsidR="00BC599D" w:rsidRPr="006B65BD" w:rsidRDefault="00BC599D"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p>
    <w:p w14:paraId="14D48176" w14:textId="4B8E49D6" w:rsidR="00BC599D" w:rsidRPr="00917483" w:rsidRDefault="00A65436"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b/>
          <w:sz w:val="24"/>
          <w:szCs w:val="24"/>
        </w:rPr>
      </w:pPr>
      <w:r w:rsidRPr="006B65BD">
        <w:rPr>
          <w:rFonts w:asciiTheme="minorHAnsi" w:eastAsia="Times New Roman" w:hAnsiTheme="minorHAnsi" w:cstheme="minorHAnsi"/>
          <w:sz w:val="24"/>
          <w:szCs w:val="24"/>
        </w:rPr>
        <w:t>The Applicant’s Authorized Representative, by his/her signature</w:t>
      </w:r>
      <w:r w:rsidR="00421B91" w:rsidRPr="006B65BD">
        <w:rPr>
          <w:rFonts w:asciiTheme="minorHAnsi" w:eastAsia="Times New Roman" w:hAnsiTheme="minorHAnsi" w:cstheme="minorHAnsi"/>
          <w:sz w:val="24"/>
          <w:szCs w:val="24"/>
        </w:rPr>
        <w:t xml:space="preserve"> within these documents</w:t>
      </w:r>
      <w:r w:rsidRPr="006B65BD">
        <w:rPr>
          <w:rFonts w:asciiTheme="minorHAnsi" w:eastAsia="Times New Roman" w:hAnsiTheme="minorHAnsi" w:cstheme="minorHAnsi"/>
          <w:sz w:val="24"/>
          <w:szCs w:val="24"/>
        </w:rPr>
        <w:t xml:space="preserve">, represents that he/she is submitting a binding offer and is authorized to </w:t>
      </w:r>
      <w:r w:rsidR="00CB6DA4" w:rsidRPr="006B65BD">
        <w:rPr>
          <w:rFonts w:asciiTheme="minorHAnsi" w:eastAsia="Times New Roman" w:hAnsiTheme="minorHAnsi" w:cstheme="minorHAnsi"/>
          <w:sz w:val="24"/>
          <w:szCs w:val="24"/>
        </w:rPr>
        <w:t>legally commit th</w:t>
      </w:r>
      <w:r w:rsidRPr="006B65BD">
        <w:rPr>
          <w:rFonts w:asciiTheme="minorHAnsi" w:eastAsia="Times New Roman" w:hAnsiTheme="minorHAnsi" w:cstheme="minorHAnsi"/>
          <w:sz w:val="24"/>
          <w:szCs w:val="24"/>
        </w:rPr>
        <w:t xml:space="preserve">e Applicant to fully comply with </w:t>
      </w:r>
      <w:r w:rsidR="00CB6DA4" w:rsidRPr="006B65BD">
        <w:rPr>
          <w:rFonts w:asciiTheme="minorHAnsi" w:eastAsia="Times New Roman" w:hAnsiTheme="minorHAnsi" w:cstheme="minorHAnsi"/>
          <w:sz w:val="24"/>
          <w:szCs w:val="24"/>
        </w:rPr>
        <w:t>all</w:t>
      </w:r>
      <w:r w:rsidRPr="006B65BD">
        <w:rPr>
          <w:rFonts w:asciiTheme="minorHAnsi" w:eastAsia="Times New Roman" w:hAnsiTheme="minorHAnsi" w:cstheme="minorHAnsi"/>
          <w:sz w:val="24"/>
          <w:szCs w:val="24"/>
        </w:rPr>
        <w:t xml:space="preserve"> solicitation documents contained herein. The Applicant, by submitting and signing, acknowledges that he/she has received and read all document forms, and agrees to be bound by the terms.  Austin </w:t>
      </w:r>
      <w:r w:rsidR="00BC599D" w:rsidRPr="006B65BD">
        <w:rPr>
          <w:rFonts w:asciiTheme="minorHAnsi" w:eastAsia="Times New Roman" w:hAnsiTheme="minorHAnsi" w:cstheme="minorHAnsi"/>
          <w:sz w:val="24"/>
          <w:szCs w:val="24"/>
        </w:rPr>
        <w:t>Public Health urges Applicants to pay particular attention to the following</w:t>
      </w:r>
      <w:r w:rsidR="00023729" w:rsidRPr="006B65BD">
        <w:rPr>
          <w:rFonts w:asciiTheme="minorHAnsi" w:eastAsia="Times New Roman" w:hAnsiTheme="minorHAnsi" w:cstheme="minorHAnsi"/>
          <w:sz w:val="24"/>
          <w:szCs w:val="24"/>
        </w:rPr>
        <w:t xml:space="preserve"> items.  </w:t>
      </w:r>
      <w:r w:rsidR="00023729" w:rsidRPr="00917483">
        <w:rPr>
          <w:rFonts w:asciiTheme="minorHAnsi" w:eastAsia="Times New Roman" w:hAnsiTheme="minorHAnsi" w:cstheme="minorHAnsi"/>
          <w:b/>
          <w:sz w:val="24"/>
          <w:szCs w:val="24"/>
        </w:rPr>
        <w:t xml:space="preserve">This list of responsibilities and requirements is not exclusive or all-inclusive; the Applicant is urged to read Form </w:t>
      </w:r>
      <w:r w:rsidR="00986045">
        <w:rPr>
          <w:rFonts w:asciiTheme="minorHAnsi" w:eastAsia="Times New Roman" w:hAnsiTheme="minorHAnsi" w:cstheme="minorHAnsi"/>
          <w:b/>
          <w:sz w:val="24"/>
          <w:szCs w:val="24"/>
        </w:rPr>
        <w:t>H-9</w:t>
      </w:r>
      <w:r w:rsidR="00A0414B" w:rsidRPr="00917483">
        <w:rPr>
          <w:rFonts w:asciiTheme="minorHAnsi" w:eastAsia="Times New Roman" w:hAnsiTheme="minorHAnsi" w:cstheme="minorHAnsi"/>
          <w:b/>
          <w:sz w:val="24"/>
          <w:szCs w:val="24"/>
        </w:rPr>
        <w:t xml:space="preserve"> - </w:t>
      </w:r>
      <w:r w:rsidR="00A0414B" w:rsidRPr="00917483">
        <w:rPr>
          <w:rFonts w:eastAsia="Arial" w:cs="Calibri"/>
          <w:b/>
          <w:sz w:val="24"/>
          <w:szCs w:val="24"/>
        </w:rPr>
        <w:t>STANDARD AGREEMENT AND MODIFICATIONS DOCUMENT</w:t>
      </w:r>
      <w:r w:rsidR="00A0414B" w:rsidRPr="00917483">
        <w:rPr>
          <w:rFonts w:asciiTheme="minorHAnsi" w:eastAsia="Times New Roman" w:hAnsiTheme="minorHAnsi" w:cstheme="minorHAnsi"/>
          <w:b/>
          <w:sz w:val="24"/>
          <w:szCs w:val="24"/>
        </w:rPr>
        <w:t xml:space="preserve"> </w:t>
      </w:r>
      <w:r w:rsidR="00421B91" w:rsidRPr="00917483">
        <w:rPr>
          <w:rFonts w:asciiTheme="minorHAnsi" w:eastAsia="Times New Roman" w:hAnsiTheme="minorHAnsi" w:cstheme="minorHAnsi"/>
          <w:b/>
          <w:sz w:val="24"/>
          <w:szCs w:val="24"/>
        </w:rPr>
        <w:t>closely before submitting this Application.</w:t>
      </w:r>
    </w:p>
    <w:p w14:paraId="4FD4FF84" w14:textId="77777777" w:rsidR="00BC599D" w:rsidRPr="006B65BD" w:rsidRDefault="00BC599D" w:rsidP="00835F6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p>
    <w:p w14:paraId="6D353B57" w14:textId="77777777" w:rsidR="00CB6DA4" w:rsidRPr="006B65BD" w:rsidRDefault="00CB6DA4"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Contract Negotiation:</w:t>
      </w:r>
      <w:r w:rsidRPr="006B65BD">
        <w:rPr>
          <w:rFonts w:asciiTheme="minorHAnsi" w:eastAsia="Times New Roman" w:hAnsiTheme="minorHAnsi" w:cstheme="minorHAnsi"/>
          <w:sz w:val="24"/>
          <w:szCs w:val="24"/>
        </w:rPr>
        <w:t xml:space="preserve">  The City reserves the absolute right to negotiate any portion of an Appli</w:t>
      </w:r>
      <w:r w:rsidRPr="006B65BD">
        <w:rPr>
          <w:rFonts w:asciiTheme="minorHAnsi" w:eastAsia="Times New Roman" w:hAnsiTheme="minorHAnsi" w:cstheme="minorHAnsi"/>
          <w:sz w:val="24"/>
          <w:szCs w:val="24"/>
        </w:rPr>
        <w:lastRenderedPageBreak/>
        <w:t>cation, including but not limited to Target Population, Service Category Activities, Budget/Cost, and Performance after submittal, before or after recommendations for award are determined, in the interest of best meeting the needs of the intended recipients of the service(s).  Lack of agreement or consensus related to negotiation may result in no award, and awards may then be recommended for lower scoring Applicants offering the same or similar service(s) in a manner determined by the City to be the best option for award.</w:t>
      </w:r>
    </w:p>
    <w:p w14:paraId="5427AB6E" w14:textId="77777777" w:rsidR="00CB6DA4" w:rsidRPr="006B65BD" w:rsidRDefault="00CB6DA4"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Application Funding Request, Project Scope, and Recommended Award:  </w:t>
      </w:r>
      <w:r w:rsidRPr="006B65BD">
        <w:rPr>
          <w:rFonts w:asciiTheme="minorHAnsi" w:eastAsia="Times New Roman" w:hAnsiTheme="minorHAnsi" w:cstheme="minorHAnsi"/>
          <w:sz w:val="24"/>
          <w:szCs w:val="24"/>
        </w:rPr>
        <w:t xml:space="preserve">The City reserves the absolute right, during the evaluation and negotiation period, to negotiate with the Applicant to scale up or down any proposed service in the Application based upon significant factors identified by the City.  Recommendations may include a partial award for reduced or altered scope, or, upon consultation with the Applicant regarding capacity, may include a larger funding recommendation than what is requested.  Only certain services in the Application may be recommended for award, and lack of award recommendation for services under one service category shall not automatically negate the Applicant's offer to provide services under any other service category included as part of the Application.  Applicants may decline recommended awards if they judge that </w:t>
      </w:r>
      <w:r w:rsidRPr="006B65BD">
        <w:rPr>
          <w:rFonts w:asciiTheme="minorHAnsi" w:eastAsia="Times New Roman" w:hAnsiTheme="minorHAnsi" w:cstheme="minorHAnsi"/>
          <w:sz w:val="24"/>
          <w:szCs w:val="24"/>
        </w:rPr>
        <w:lastRenderedPageBreak/>
        <w:t>doing so is the best course of action for their organization.</w:t>
      </w:r>
    </w:p>
    <w:p w14:paraId="7EE66058" w14:textId="1314014C" w:rsidR="00BC599D" w:rsidRPr="006B65BD" w:rsidRDefault="00BC599D"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Allowable and Unallowable Expenses</w:t>
      </w:r>
      <w:r w:rsidRPr="006B65BD">
        <w:rPr>
          <w:rFonts w:asciiTheme="minorHAnsi" w:eastAsia="Times New Roman" w:hAnsiTheme="minorHAnsi" w:cstheme="minorHAnsi"/>
          <w:sz w:val="24"/>
          <w:szCs w:val="24"/>
        </w:rPr>
        <w:t>.  In particular, review</w:t>
      </w:r>
      <w:r w:rsidR="00347555">
        <w:rPr>
          <w:rFonts w:asciiTheme="minorHAnsi" w:eastAsia="Times New Roman" w:hAnsiTheme="minorHAnsi" w:cstheme="minorHAnsi"/>
          <w:sz w:val="24"/>
          <w:szCs w:val="24"/>
        </w:rPr>
        <w:t xml:space="preserve"> in detail Section 4.8 of Form H-9</w:t>
      </w:r>
      <w:r w:rsidRPr="006B65BD">
        <w:rPr>
          <w:rFonts w:asciiTheme="minorHAnsi" w:eastAsia="Times New Roman" w:hAnsiTheme="minorHAnsi" w:cstheme="minorHAnsi"/>
          <w:sz w:val="24"/>
          <w:szCs w:val="24"/>
        </w:rPr>
        <w:t xml:space="preserve"> – Standard Agreement and General Modifications documents.</w:t>
      </w:r>
    </w:p>
    <w:p w14:paraId="3C7CFEA3" w14:textId="7AA81929" w:rsidR="00BC599D" w:rsidRPr="006B65BD" w:rsidRDefault="00BC599D"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Insurance Requirements.  </w:t>
      </w:r>
      <w:r w:rsidRPr="006B65BD">
        <w:rPr>
          <w:rFonts w:asciiTheme="minorHAnsi" w:eastAsia="Times New Roman" w:hAnsiTheme="minorHAnsi" w:cstheme="minorHAnsi"/>
          <w:sz w:val="24"/>
          <w:szCs w:val="24"/>
        </w:rPr>
        <w:t xml:space="preserve">Review </w:t>
      </w:r>
      <w:r w:rsidR="00986045">
        <w:rPr>
          <w:rFonts w:asciiTheme="minorHAnsi" w:eastAsia="Times New Roman" w:hAnsiTheme="minorHAnsi" w:cstheme="minorHAnsi"/>
          <w:sz w:val="24"/>
          <w:szCs w:val="24"/>
        </w:rPr>
        <w:t>Form H-8</w:t>
      </w:r>
      <w:r w:rsidRPr="006B65BD">
        <w:rPr>
          <w:rFonts w:asciiTheme="minorHAnsi" w:eastAsia="Times New Roman" w:hAnsiTheme="minorHAnsi" w:cstheme="minorHAnsi"/>
          <w:sz w:val="24"/>
          <w:szCs w:val="24"/>
        </w:rPr>
        <w:t xml:space="preserve"> </w:t>
      </w:r>
      <w:r w:rsidR="00CB6DA4" w:rsidRPr="006B65BD">
        <w:rPr>
          <w:rFonts w:asciiTheme="minorHAnsi" w:eastAsia="Times New Roman" w:hAnsiTheme="minorHAnsi" w:cstheme="minorHAnsi"/>
          <w:sz w:val="24"/>
          <w:szCs w:val="24"/>
        </w:rPr>
        <w:t xml:space="preserve">– City Insurance Requirements </w:t>
      </w:r>
      <w:r w:rsidRPr="006B65BD">
        <w:rPr>
          <w:rFonts w:asciiTheme="minorHAnsi" w:eastAsia="Times New Roman" w:hAnsiTheme="minorHAnsi" w:cstheme="minorHAnsi"/>
          <w:sz w:val="24"/>
          <w:szCs w:val="24"/>
        </w:rPr>
        <w:t>and consult with your insurance professional to ensure that you can obtain all of the needed coverage within 30 days of Notice of Award.</w:t>
      </w:r>
    </w:p>
    <w:p w14:paraId="382CA684" w14:textId="38603592" w:rsidR="00BC599D" w:rsidRPr="006B65BD" w:rsidRDefault="00A65436"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Application</w:t>
      </w:r>
      <w:r w:rsidR="00BC599D" w:rsidRPr="006B65BD">
        <w:rPr>
          <w:rFonts w:asciiTheme="minorHAnsi" w:eastAsia="Times New Roman" w:hAnsiTheme="minorHAnsi" w:cstheme="minorHAnsi"/>
          <w:b/>
          <w:sz w:val="24"/>
          <w:szCs w:val="24"/>
        </w:rPr>
        <w:t xml:space="preserve"> Acceptance Period:</w:t>
      </w:r>
      <w:r w:rsidR="00BC599D" w:rsidRPr="006B65BD">
        <w:rPr>
          <w:rFonts w:asciiTheme="minorHAnsi" w:eastAsia="Times New Roman" w:hAnsiTheme="minorHAnsi" w:cstheme="minorHAnsi"/>
          <w:sz w:val="24"/>
          <w:szCs w:val="24"/>
        </w:rPr>
        <w:t xml:space="preserve">  All applications shall remain valid until award, negotiation, and execution of contracts as directed by the Austin City Council.  </w:t>
      </w:r>
    </w:p>
    <w:p w14:paraId="368B72D2" w14:textId="01960C12" w:rsidR="00BC599D" w:rsidRPr="006B65BD" w:rsidRDefault="00BC599D"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Proprietary Information: </w:t>
      </w:r>
      <w:r w:rsidRPr="006B65BD">
        <w:rPr>
          <w:rFonts w:asciiTheme="minorHAnsi" w:eastAsia="Times New Roman" w:hAnsiTheme="minorHAnsi" w:cstheme="minorHAnsi"/>
          <w:sz w:val="24"/>
          <w:szCs w:val="24"/>
        </w:rPr>
        <w:t xml:space="preserve">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607A2CA1" w14:textId="5B6CBB1F" w:rsidR="00BC599D" w:rsidRPr="006B65BD" w:rsidRDefault="00BC599D"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Exceptions:</w:t>
      </w:r>
      <w:r w:rsidRPr="006B65BD">
        <w:rPr>
          <w:rFonts w:asciiTheme="minorHAnsi" w:eastAsia="Times New Roman" w:hAnsiTheme="minorHAnsi" w:cstheme="minorHAnsi"/>
          <w:sz w:val="24"/>
          <w:szCs w:val="24"/>
        </w:rPr>
        <w:t xml:space="preserve"> Please be advised that exceptions to </w:t>
      </w:r>
      <w:r w:rsidRPr="006B65BD">
        <w:rPr>
          <w:rFonts w:asciiTheme="minorHAnsi" w:eastAsia="Times New Roman" w:hAnsiTheme="minorHAnsi" w:cstheme="minorHAnsi"/>
          <w:sz w:val="24"/>
          <w:szCs w:val="24"/>
        </w:rPr>
        <w:lastRenderedPageBreak/>
        <w:t>any portion of the Solicitation may jeopardize acceptance of the application.</w:t>
      </w:r>
    </w:p>
    <w:p w14:paraId="4BDEBD11" w14:textId="1C87C66B" w:rsidR="00023729" w:rsidRPr="006B65BD" w:rsidRDefault="00023729"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Financial Supporting Documentation: </w:t>
      </w:r>
      <w:r w:rsidRPr="006B65BD">
        <w:rPr>
          <w:rFonts w:asciiTheme="minorHAnsi" w:eastAsia="Times New Roman" w:hAnsiTheme="minorHAnsi" w:cstheme="minorHAnsi"/>
          <w:sz w:val="24"/>
          <w:szCs w:val="24"/>
        </w:rPr>
        <w:t>Grantee must provide the City with supporting documentation for each monthly Payment Request which includes, but is not limited to, a report of City Agreement expenditures generated from the Grantee’s financial management system Grantee shall deposit and maintain all funds received under this Agreement in either a separate numbered bank account or a general operating account, either of which shall be supported with the maintenance of a separate accounting with a specific chart which reflects specific revenues and expenditures for the monies received under this Agreement. The Grantee’s accounting system must identify the specific expenditures, or portions of expenditures, against which funds under this Agreement are disbursed. Grantee must be able to produce an accounting system-generated report of exact expenses or portions of expenses charged to the City for any given time period. The City retains right of final approval of any supporting documentation submitted before a Payment Request is approved for processing.</w:t>
      </w:r>
    </w:p>
    <w:p w14:paraId="4D4653FF" w14:textId="6CBE97DB" w:rsidR="00023729" w:rsidRPr="006B65BD" w:rsidRDefault="00023729"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Reimbursement Only Basis.  </w:t>
      </w:r>
      <w:r w:rsidRPr="006B65BD">
        <w:rPr>
          <w:rFonts w:asciiTheme="minorHAnsi" w:eastAsia="Times New Roman" w:hAnsiTheme="minorHAnsi" w:cstheme="minorHAnsi"/>
          <w:sz w:val="24"/>
          <w:szCs w:val="24"/>
        </w:rPr>
        <w:t xml:space="preserve">Expenses and/or expenditures shall be considered reimbursable only if incurred during the current Program Period identified in Section 4.1.2 of the Standard Agreement, directly and specifically in the performance of this Agreement, and in conformance with the </w:t>
      </w:r>
      <w:r w:rsidRPr="006B65BD">
        <w:rPr>
          <w:rFonts w:asciiTheme="minorHAnsi" w:eastAsia="Times New Roman" w:hAnsiTheme="minorHAnsi" w:cstheme="minorHAnsi"/>
          <w:sz w:val="24"/>
          <w:szCs w:val="24"/>
        </w:rPr>
        <w:lastRenderedPageBreak/>
        <w:t xml:space="preserve">Agreement Exhibits. Grantee agrees that, unless otherwise specifically provided for in this Agreement, payment by the City under the terms of this Agreement is made on a reimbursement basis only; Grantee must have </w:t>
      </w:r>
      <w:r w:rsidRPr="006B65BD">
        <w:rPr>
          <w:rFonts w:asciiTheme="minorHAnsi" w:eastAsia="Times New Roman" w:hAnsiTheme="minorHAnsi" w:cstheme="minorHAnsi"/>
          <w:b/>
          <w:sz w:val="24"/>
          <w:szCs w:val="24"/>
          <w:u w:val="single"/>
        </w:rPr>
        <w:t>incurred and paid</w:t>
      </w:r>
      <w:r w:rsidRPr="006B65BD">
        <w:rPr>
          <w:rFonts w:asciiTheme="minorHAnsi" w:eastAsia="Times New Roman" w:hAnsiTheme="minorHAnsi" w:cstheme="minorHAnsi"/>
          <w:sz w:val="24"/>
          <w:szCs w:val="24"/>
        </w:rPr>
        <w:t xml:space="preserve"> costs prior to those costs being invoiced and considered allowable under this Agreement and subject to payment by the City.</w:t>
      </w:r>
    </w:p>
    <w:p w14:paraId="6F039CD1" w14:textId="5AA59147" w:rsidR="00023729" w:rsidRPr="006B65BD" w:rsidRDefault="00023729"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Monitoring and Evaluation.  </w:t>
      </w:r>
      <w:r w:rsidRPr="006B65BD">
        <w:rPr>
          <w:rFonts w:asciiTheme="minorHAnsi" w:eastAsia="Times New Roman" w:hAnsiTheme="minorHAnsi" w:cstheme="minorHAnsi"/>
          <w:sz w:val="24"/>
          <w:szCs w:val="24"/>
        </w:rPr>
        <w:t xml:space="preserve">Grantee agrees that the City or its designee will carry out monitoring and evaluation activities to ensure adherence by the Grantee and Subgrantees to the Program Work Statement, Program Performance Measures, and Program Budget, as well as quality management purposes related to direct services or administrative operations.  Grantee shall fully cooperate in any monitoring or review by the City and shall designate a staff member to coordinate monitoring and evaluation activities.  The City expressly reserves the right to </w:t>
      </w:r>
      <w:r w:rsidR="00347555">
        <w:rPr>
          <w:rFonts w:asciiTheme="minorHAnsi" w:eastAsia="Times New Roman" w:hAnsiTheme="minorHAnsi" w:cstheme="minorHAnsi"/>
          <w:sz w:val="24"/>
          <w:szCs w:val="24"/>
        </w:rPr>
        <w:t>access</w:t>
      </w:r>
      <w:r w:rsidRPr="006B65BD">
        <w:rPr>
          <w:rFonts w:asciiTheme="minorHAnsi" w:eastAsia="Times New Roman" w:hAnsiTheme="minorHAnsi" w:cstheme="minorHAnsi"/>
          <w:sz w:val="24"/>
          <w:szCs w:val="24"/>
        </w:rPr>
        <w:t xml:space="preserve"> client-level data related to services provided </w:t>
      </w:r>
      <w:r w:rsidR="00347555">
        <w:rPr>
          <w:rFonts w:asciiTheme="minorHAnsi" w:eastAsia="Times New Roman" w:hAnsiTheme="minorHAnsi" w:cstheme="minorHAnsi"/>
          <w:sz w:val="24"/>
          <w:szCs w:val="24"/>
        </w:rPr>
        <w:t>by the Applicant</w:t>
      </w:r>
      <w:r w:rsidRPr="006B65BD">
        <w:rPr>
          <w:rFonts w:asciiTheme="minorHAnsi" w:eastAsia="Times New Roman" w:hAnsiTheme="minorHAnsi" w:cstheme="minorHAnsi"/>
          <w:sz w:val="24"/>
          <w:szCs w:val="24"/>
        </w:rPr>
        <w:t>. Grantee shall provide the City with copies of all evaluation or monitoring reports received from other funding sources during the Agreement Term.</w:t>
      </w:r>
    </w:p>
    <w:p w14:paraId="4A0EF846" w14:textId="0D84C1FC" w:rsidR="00BC599D" w:rsidRPr="006B65BD" w:rsidRDefault="00BC599D"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Application Preparation Costs:</w:t>
      </w:r>
      <w:r w:rsidRPr="006B65BD">
        <w:rPr>
          <w:rFonts w:asciiTheme="minorHAnsi" w:eastAsia="Times New Roman" w:hAnsiTheme="minorHAnsi" w:cstheme="minorHAnsi"/>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3B5782D3" w14:textId="5F2B0AF7" w:rsidR="00BC599D" w:rsidRPr="006B65BD" w:rsidRDefault="00BC599D" w:rsidP="00646198">
      <w:pPr>
        <w:pStyle w:val="ListParagraph"/>
        <w:widowControl w:val="0"/>
        <w:numPr>
          <w:ilvl w:val="0"/>
          <w:numId w:val="13"/>
        </w:numPr>
        <w:tabs>
          <w:tab w:val="left" w:pos="5904"/>
          <w:tab w:val="left" w:pos="6744"/>
          <w:tab w:val="left" w:pos="7944"/>
        </w:tabs>
        <w:spacing w:after="0" w:line="240" w:lineRule="auto"/>
        <w:ind w:right="48"/>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lastRenderedPageBreak/>
        <w:t xml:space="preserve">Contract Adjustments: </w:t>
      </w:r>
      <w:r w:rsidRPr="006B65BD">
        <w:rPr>
          <w:rFonts w:asciiTheme="minorHAnsi" w:eastAsia="Times New Roman" w:hAnsiTheme="minorHAnsi" w:cstheme="minorHAnsi"/>
          <w:sz w:val="24"/>
          <w:szCs w:val="24"/>
        </w:rPr>
        <w:t>The City of Austin reserves the right to adjust the agreement amount or scope of work over the contract period based on community needs, Applicant’s ability to expend funds in a timely manner</w:t>
      </w:r>
      <w:r w:rsidR="00A65436" w:rsidRPr="006B65BD">
        <w:rPr>
          <w:rFonts w:asciiTheme="minorHAnsi" w:eastAsia="Times New Roman" w:hAnsiTheme="minorHAnsi" w:cstheme="minorHAnsi"/>
          <w:sz w:val="24"/>
          <w:szCs w:val="24"/>
        </w:rPr>
        <w:t>,</w:t>
      </w:r>
      <w:r w:rsidRPr="006B65BD">
        <w:rPr>
          <w:rFonts w:asciiTheme="minorHAnsi" w:eastAsia="Times New Roman" w:hAnsiTheme="minorHAnsi" w:cstheme="minorHAnsi"/>
          <w:sz w:val="24"/>
          <w:szCs w:val="24"/>
        </w:rPr>
        <w:t xml:space="preserve"> or any other factor.  When the City determines </w:t>
      </w:r>
      <w:r w:rsidR="00A65436" w:rsidRPr="006B65BD">
        <w:rPr>
          <w:rFonts w:asciiTheme="minorHAnsi" w:eastAsia="Times New Roman" w:hAnsiTheme="minorHAnsi" w:cstheme="minorHAnsi"/>
          <w:sz w:val="24"/>
          <w:szCs w:val="24"/>
        </w:rPr>
        <w:t xml:space="preserve">that </w:t>
      </w:r>
      <w:r w:rsidRPr="006B65BD">
        <w:rPr>
          <w:rFonts w:asciiTheme="minorHAnsi" w:eastAsia="Times New Roman" w:hAnsiTheme="minorHAnsi" w:cstheme="minorHAnsi"/>
          <w:sz w:val="24"/>
          <w:szCs w:val="24"/>
        </w:rPr>
        <w:t xml:space="preserve">adjustments </w:t>
      </w:r>
      <w:r w:rsidR="00A65436" w:rsidRPr="006B65BD">
        <w:rPr>
          <w:rFonts w:asciiTheme="minorHAnsi" w:eastAsia="Times New Roman" w:hAnsiTheme="minorHAnsi" w:cstheme="minorHAnsi"/>
          <w:sz w:val="24"/>
          <w:szCs w:val="24"/>
        </w:rPr>
        <w:t xml:space="preserve">must </w:t>
      </w:r>
      <w:r w:rsidRPr="006B65BD">
        <w:rPr>
          <w:rFonts w:asciiTheme="minorHAnsi" w:eastAsia="Times New Roman" w:hAnsiTheme="minorHAnsi" w:cstheme="minorHAnsi"/>
          <w:sz w:val="24"/>
          <w:szCs w:val="24"/>
        </w:rPr>
        <w:t>be made, the City will provide at least a 90-day notice to the Grantee.</w:t>
      </w:r>
    </w:p>
    <w:p w14:paraId="3F70A554" w14:textId="77777777" w:rsidR="00A65436" w:rsidRPr="006B65BD" w:rsidRDefault="00A65436"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Form 1295:</w:t>
      </w:r>
      <w:r w:rsidRPr="006B65BD">
        <w:rPr>
          <w:rFonts w:asciiTheme="minorHAnsi" w:eastAsia="Times New Roman" w:hAnsiTheme="minorHAnsi" w:cstheme="minorHAnsi"/>
          <w:sz w:val="24"/>
          <w:szCs w:val="24"/>
        </w:rPr>
        <w:t xml:space="preserve">  Section 2252.908 of the Texas Government Code requires a successful Applicant to complete a Form 1295, “Certificate of Interested Parties,” that is signed and notarized for an Agreement award requiring City Council authorization. As part of contract execution, the “Certificate of Interested Parties” form must be completed on the Texas Ethics Commission website, printed, signed and submitted to the City by the authorized agent of a successful Applicant with acknowledgment that disclosure is made under oath and under penalty of perjury prior to final Agreement execution.  More information is available at www.ethics.state.tx.us/whatsnew/elf_info_form1295.htm. </w:t>
      </w:r>
    </w:p>
    <w:p w14:paraId="7B567439" w14:textId="1D7330D3" w:rsidR="00BC599D" w:rsidRPr="006B65BD" w:rsidRDefault="00744D9C" w:rsidP="00646198">
      <w:pPr>
        <w:pStyle w:val="ListParagraph"/>
        <w:widowControl w:val="0"/>
        <w:numPr>
          <w:ilvl w:val="0"/>
          <w:numId w:val="13"/>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heme="minorHAnsi" w:eastAsia="Times New Roman" w:hAnsiTheme="minorHAnsi" w:cstheme="minorHAnsi"/>
          <w:sz w:val="24"/>
          <w:szCs w:val="24"/>
        </w:rPr>
      </w:pPr>
      <w:r w:rsidRPr="006B65BD">
        <w:rPr>
          <w:rFonts w:asciiTheme="minorHAnsi" w:eastAsia="Times New Roman" w:hAnsiTheme="minorHAnsi" w:cstheme="minorHAnsi"/>
          <w:b/>
          <w:sz w:val="24"/>
          <w:szCs w:val="24"/>
        </w:rPr>
        <w:t xml:space="preserve">Vendor Registration:  </w:t>
      </w:r>
      <w:r w:rsidR="00A65436" w:rsidRPr="006B65BD">
        <w:rPr>
          <w:rFonts w:asciiTheme="minorHAnsi" w:eastAsia="Times New Roman" w:hAnsiTheme="minorHAnsi" w:cstheme="minorHAnsi"/>
          <w:sz w:val="24"/>
          <w:szCs w:val="24"/>
        </w:rPr>
        <w:t xml:space="preserve">Applicant must be a Registered City of Austin Vendor before submitting an Application under this solicitation.   If Applicant is not currently a registered Vendor with the City of Austin, registration must be completed by clicking “Create Account” under </w:t>
      </w:r>
      <w:r w:rsidR="00A65436" w:rsidRPr="006B65BD">
        <w:rPr>
          <w:rFonts w:asciiTheme="minorHAnsi" w:eastAsia="Times New Roman" w:hAnsiTheme="minorHAnsi" w:cstheme="minorHAnsi"/>
          <w:i/>
          <w:sz w:val="24"/>
          <w:szCs w:val="24"/>
        </w:rPr>
        <w:t>New Vendors</w:t>
      </w:r>
      <w:r w:rsidR="00A65436" w:rsidRPr="006B65BD">
        <w:rPr>
          <w:rFonts w:asciiTheme="minorHAnsi" w:eastAsia="Times New Roman" w:hAnsiTheme="minorHAnsi" w:cstheme="minorHAnsi"/>
          <w:sz w:val="24"/>
          <w:szCs w:val="24"/>
        </w:rPr>
        <w:t xml:space="preserve"> at the following link, and providing any supporting documentation required to the appropriate </w:t>
      </w:r>
      <w:r w:rsidR="00A65436" w:rsidRPr="006B65BD">
        <w:rPr>
          <w:rFonts w:asciiTheme="minorHAnsi" w:eastAsia="Times New Roman" w:hAnsiTheme="minorHAnsi" w:cstheme="minorHAnsi"/>
          <w:sz w:val="24"/>
          <w:szCs w:val="24"/>
        </w:rPr>
        <w:lastRenderedPageBreak/>
        <w:t xml:space="preserve">City office, before submitting an Application.  </w:t>
      </w:r>
      <w:hyperlink r:id="rId11" w:history="1">
        <w:r w:rsidR="00A65436" w:rsidRPr="006B65BD">
          <w:rPr>
            <w:rStyle w:val="Hyperlink"/>
            <w:rFonts w:asciiTheme="minorHAnsi" w:eastAsia="Times New Roman" w:hAnsiTheme="minorHAnsi" w:cstheme="minorHAnsi"/>
            <w:sz w:val="24"/>
            <w:szCs w:val="24"/>
          </w:rPr>
          <w:t>https://www.austintexas.gov/financeonline/vendor_connection/index.cfm</w:t>
        </w:r>
      </w:hyperlink>
      <w:r w:rsidR="00A65436" w:rsidRPr="006B65BD">
        <w:rPr>
          <w:rFonts w:asciiTheme="minorHAnsi" w:eastAsia="Times New Roman" w:hAnsiTheme="minorHAnsi" w:cstheme="minorHAnsi"/>
          <w:sz w:val="24"/>
          <w:szCs w:val="24"/>
        </w:rPr>
        <w:t xml:space="preserve"> </w:t>
      </w:r>
    </w:p>
    <w:p w14:paraId="669BB60A" w14:textId="6F7428F8" w:rsidR="0081112D" w:rsidRDefault="0081112D">
      <w:pPr>
        <w:spacing w:after="0" w:line="240" w:lineRule="auto"/>
        <w:rPr>
          <w:rFonts w:asciiTheme="minorHAnsi" w:eastAsia="Times New Roman" w:hAnsiTheme="minorHAnsi" w:cstheme="minorHAnsi"/>
          <w:sz w:val="24"/>
          <w:szCs w:val="24"/>
        </w:rPr>
      </w:pPr>
    </w:p>
    <w:p w14:paraId="56549599" w14:textId="0996ED7B" w:rsidR="00DE25B5" w:rsidRDefault="00DE25B5">
      <w:pPr>
        <w:spacing w:after="0" w:line="240" w:lineRule="auto"/>
        <w:rPr>
          <w:rFonts w:asciiTheme="minorHAnsi" w:eastAsia="Times New Roman" w:hAnsiTheme="minorHAnsi" w:cstheme="minorHAnsi"/>
          <w:sz w:val="24"/>
          <w:szCs w:val="24"/>
        </w:rPr>
      </w:pPr>
    </w:p>
    <w:p w14:paraId="7E213B75" w14:textId="2A5C7BCE" w:rsidR="00DE25B5" w:rsidRDefault="00DE25B5">
      <w:pPr>
        <w:spacing w:after="0" w:line="240" w:lineRule="auto"/>
        <w:rPr>
          <w:rFonts w:asciiTheme="minorHAnsi" w:eastAsia="Times New Roman" w:hAnsiTheme="minorHAnsi" w:cstheme="minorHAnsi"/>
          <w:sz w:val="24"/>
          <w:szCs w:val="24"/>
        </w:rPr>
      </w:pPr>
    </w:p>
    <w:p w14:paraId="39066308" w14:textId="3638E47D" w:rsidR="00DE25B5" w:rsidRDefault="00DE25B5">
      <w:pPr>
        <w:spacing w:after="0" w:line="240" w:lineRule="auto"/>
        <w:rPr>
          <w:rFonts w:asciiTheme="minorHAnsi" w:eastAsia="Times New Roman" w:hAnsiTheme="minorHAnsi" w:cstheme="minorHAnsi"/>
          <w:sz w:val="24"/>
          <w:szCs w:val="24"/>
        </w:rPr>
      </w:pPr>
    </w:p>
    <w:p w14:paraId="3FA25C49" w14:textId="0AF6EC6B" w:rsidR="00DE25B5" w:rsidRDefault="00DE25B5">
      <w:pPr>
        <w:spacing w:after="0" w:line="240" w:lineRule="auto"/>
        <w:rPr>
          <w:rFonts w:asciiTheme="minorHAnsi" w:eastAsia="Times New Roman" w:hAnsiTheme="minorHAnsi" w:cstheme="minorHAnsi"/>
          <w:sz w:val="24"/>
          <w:szCs w:val="24"/>
        </w:rPr>
      </w:pPr>
    </w:p>
    <w:p w14:paraId="3DD86C95" w14:textId="5B30AFAC" w:rsidR="00DE25B5" w:rsidRDefault="00DE25B5">
      <w:pPr>
        <w:spacing w:after="0" w:line="240" w:lineRule="auto"/>
        <w:rPr>
          <w:rFonts w:asciiTheme="minorHAnsi" w:eastAsia="Times New Roman" w:hAnsiTheme="minorHAnsi" w:cstheme="minorHAnsi"/>
          <w:sz w:val="24"/>
          <w:szCs w:val="24"/>
        </w:rPr>
      </w:pPr>
    </w:p>
    <w:p w14:paraId="75D035F1" w14:textId="2E654D49" w:rsidR="00DE25B5" w:rsidRDefault="00DE25B5">
      <w:pPr>
        <w:spacing w:after="0" w:line="240" w:lineRule="auto"/>
        <w:rPr>
          <w:rFonts w:asciiTheme="minorHAnsi" w:eastAsia="Times New Roman" w:hAnsiTheme="minorHAnsi" w:cstheme="minorHAnsi"/>
          <w:sz w:val="24"/>
          <w:szCs w:val="24"/>
        </w:rPr>
      </w:pPr>
    </w:p>
    <w:p w14:paraId="7F52C6CD" w14:textId="21C1F3E8" w:rsidR="00DE25B5" w:rsidRDefault="00DE25B5">
      <w:pPr>
        <w:spacing w:after="0" w:line="240" w:lineRule="auto"/>
        <w:rPr>
          <w:rFonts w:asciiTheme="minorHAnsi" w:eastAsia="Times New Roman" w:hAnsiTheme="minorHAnsi" w:cstheme="minorHAnsi"/>
          <w:sz w:val="24"/>
          <w:szCs w:val="24"/>
        </w:rPr>
      </w:pPr>
    </w:p>
    <w:p w14:paraId="28B6BE16" w14:textId="2EF01471" w:rsidR="00DE25B5" w:rsidRDefault="00DE25B5">
      <w:pPr>
        <w:spacing w:after="0" w:line="240" w:lineRule="auto"/>
        <w:rPr>
          <w:rFonts w:asciiTheme="minorHAnsi" w:eastAsia="Times New Roman" w:hAnsiTheme="minorHAnsi" w:cstheme="minorHAnsi"/>
          <w:sz w:val="24"/>
          <w:szCs w:val="24"/>
        </w:rPr>
      </w:pPr>
    </w:p>
    <w:p w14:paraId="4B4CF882" w14:textId="66B32DE4" w:rsidR="00DE25B5" w:rsidRDefault="00DE25B5">
      <w:pPr>
        <w:spacing w:after="0" w:line="240" w:lineRule="auto"/>
        <w:rPr>
          <w:rFonts w:asciiTheme="minorHAnsi" w:eastAsia="Times New Roman" w:hAnsiTheme="minorHAnsi" w:cstheme="minorHAnsi"/>
          <w:sz w:val="24"/>
          <w:szCs w:val="24"/>
        </w:rPr>
      </w:pPr>
    </w:p>
    <w:p w14:paraId="02F45EF2" w14:textId="619B39D5" w:rsidR="00DE25B5" w:rsidRDefault="00DE25B5">
      <w:pPr>
        <w:spacing w:after="0" w:line="240" w:lineRule="auto"/>
        <w:rPr>
          <w:rFonts w:asciiTheme="minorHAnsi" w:eastAsia="Times New Roman" w:hAnsiTheme="minorHAnsi" w:cstheme="minorHAnsi"/>
          <w:sz w:val="24"/>
          <w:szCs w:val="24"/>
        </w:rPr>
      </w:pPr>
    </w:p>
    <w:p w14:paraId="1B069C9D" w14:textId="76406D08" w:rsidR="00DE25B5" w:rsidRDefault="00DE25B5">
      <w:pPr>
        <w:spacing w:after="0" w:line="240" w:lineRule="auto"/>
        <w:rPr>
          <w:rFonts w:asciiTheme="minorHAnsi" w:eastAsia="Times New Roman" w:hAnsiTheme="minorHAnsi" w:cstheme="minorHAnsi"/>
          <w:sz w:val="24"/>
          <w:szCs w:val="24"/>
        </w:rPr>
      </w:pPr>
    </w:p>
    <w:p w14:paraId="20A3CFEF" w14:textId="22697C84" w:rsidR="00DE25B5" w:rsidRDefault="00DE25B5">
      <w:pPr>
        <w:spacing w:after="0" w:line="240" w:lineRule="auto"/>
        <w:rPr>
          <w:rFonts w:asciiTheme="minorHAnsi" w:eastAsia="Times New Roman" w:hAnsiTheme="minorHAnsi" w:cstheme="minorHAnsi"/>
          <w:sz w:val="24"/>
          <w:szCs w:val="24"/>
        </w:rPr>
      </w:pPr>
    </w:p>
    <w:p w14:paraId="43DA8F26" w14:textId="17DA0B0F" w:rsidR="00DE25B5" w:rsidRDefault="00DE25B5">
      <w:pPr>
        <w:spacing w:after="0" w:line="240" w:lineRule="auto"/>
        <w:rPr>
          <w:rFonts w:asciiTheme="minorHAnsi" w:eastAsia="Times New Roman" w:hAnsiTheme="minorHAnsi" w:cstheme="minorHAnsi"/>
          <w:sz w:val="24"/>
          <w:szCs w:val="24"/>
        </w:rPr>
      </w:pPr>
    </w:p>
    <w:p w14:paraId="22E70C87" w14:textId="7E764AA9" w:rsidR="00DE25B5" w:rsidRDefault="00DE25B5">
      <w:pPr>
        <w:spacing w:after="0" w:line="240" w:lineRule="auto"/>
        <w:rPr>
          <w:rFonts w:asciiTheme="minorHAnsi" w:eastAsia="Times New Roman" w:hAnsiTheme="minorHAnsi" w:cstheme="minorHAnsi"/>
          <w:sz w:val="24"/>
          <w:szCs w:val="24"/>
        </w:rPr>
      </w:pPr>
    </w:p>
    <w:p w14:paraId="1B1B3BD2" w14:textId="3B5B2385" w:rsidR="00DE25B5" w:rsidRDefault="00DE25B5">
      <w:pPr>
        <w:spacing w:after="0" w:line="240" w:lineRule="auto"/>
        <w:rPr>
          <w:rFonts w:asciiTheme="minorHAnsi" w:eastAsia="Times New Roman" w:hAnsiTheme="minorHAnsi" w:cstheme="minorHAnsi"/>
          <w:sz w:val="24"/>
          <w:szCs w:val="24"/>
        </w:rPr>
      </w:pPr>
    </w:p>
    <w:p w14:paraId="326E8766" w14:textId="3E6DBC39" w:rsidR="00DE25B5" w:rsidRDefault="00DE25B5">
      <w:pPr>
        <w:spacing w:after="0" w:line="240" w:lineRule="auto"/>
        <w:rPr>
          <w:rFonts w:asciiTheme="minorHAnsi" w:eastAsia="Times New Roman" w:hAnsiTheme="minorHAnsi" w:cstheme="minorHAnsi"/>
          <w:sz w:val="24"/>
          <w:szCs w:val="24"/>
        </w:rPr>
      </w:pPr>
    </w:p>
    <w:p w14:paraId="12DAA7DC" w14:textId="27AC3326" w:rsidR="00DE25B5" w:rsidRDefault="00DE25B5">
      <w:pPr>
        <w:spacing w:after="0" w:line="240" w:lineRule="auto"/>
        <w:rPr>
          <w:rFonts w:asciiTheme="minorHAnsi" w:eastAsia="Times New Roman" w:hAnsiTheme="minorHAnsi" w:cstheme="minorHAnsi"/>
          <w:sz w:val="24"/>
          <w:szCs w:val="24"/>
        </w:rPr>
      </w:pPr>
    </w:p>
    <w:p w14:paraId="14331186" w14:textId="0E8FDC4B" w:rsidR="00DE25B5" w:rsidRDefault="00DE25B5">
      <w:pPr>
        <w:spacing w:after="0" w:line="240" w:lineRule="auto"/>
        <w:rPr>
          <w:rFonts w:asciiTheme="minorHAnsi" w:eastAsia="Times New Roman" w:hAnsiTheme="minorHAnsi" w:cstheme="minorHAnsi"/>
          <w:sz w:val="24"/>
          <w:szCs w:val="24"/>
        </w:rPr>
      </w:pPr>
    </w:p>
    <w:p w14:paraId="4002F081" w14:textId="410A30B6" w:rsidR="00DE25B5" w:rsidRDefault="00DE25B5">
      <w:pPr>
        <w:spacing w:after="0" w:line="240" w:lineRule="auto"/>
        <w:rPr>
          <w:rFonts w:asciiTheme="minorHAnsi" w:eastAsia="Times New Roman" w:hAnsiTheme="minorHAnsi" w:cstheme="minorHAnsi"/>
          <w:sz w:val="24"/>
          <w:szCs w:val="24"/>
        </w:rPr>
      </w:pPr>
    </w:p>
    <w:p w14:paraId="3EFB9700" w14:textId="69485EFF" w:rsidR="00DE25B5" w:rsidRDefault="00DE25B5">
      <w:pPr>
        <w:spacing w:after="0" w:line="240" w:lineRule="auto"/>
        <w:rPr>
          <w:rFonts w:asciiTheme="minorHAnsi" w:eastAsia="Times New Roman" w:hAnsiTheme="minorHAnsi" w:cstheme="minorHAnsi"/>
          <w:sz w:val="24"/>
          <w:szCs w:val="24"/>
        </w:rPr>
      </w:pPr>
    </w:p>
    <w:p w14:paraId="1871569F" w14:textId="4FB324C2" w:rsidR="00DE25B5" w:rsidRDefault="00DE25B5">
      <w:pPr>
        <w:spacing w:after="0" w:line="240" w:lineRule="auto"/>
        <w:rPr>
          <w:rFonts w:asciiTheme="minorHAnsi" w:eastAsia="Times New Roman" w:hAnsiTheme="minorHAnsi" w:cstheme="minorHAnsi"/>
          <w:sz w:val="24"/>
          <w:szCs w:val="24"/>
        </w:rPr>
      </w:pPr>
    </w:p>
    <w:p w14:paraId="47A0ED69" w14:textId="77777777" w:rsidR="00DE25B5" w:rsidRDefault="00DE25B5" w:rsidP="0081112D">
      <w:pPr>
        <w:spacing w:after="0" w:line="240" w:lineRule="auto"/>
        <w:ind w:left="1170"/>
        <w:rPr>
          <w:rFonts w:asciiTheme="minorHAnsi" w:eastAsia="Times New Roman" w:hAnsiTheme="minorHAnsi" w:cstheme="minorHAnsi"/>
          <w:b/>
          <w:sz w:val="24"/>
          <w:szCs w:val="24"/>
        </w:rPr>
      </w:pPr>
    </w:p>
    <w:p w14:paraId="1AF5D022" w14:textId="3BA1C21F" w:rsidR="00070D82" w:rsidRPr="006B65BD" w:rsidRDefault="0081112D" w:rsidP="0081112D">
      <w:pPr>
        <w:spacing w:after="0" w:line="240" w:lineRule="auto"/>
        <w:ind w:left="117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rPr>
        <w:t xml:space="preserve">              </w:t>
      </w:r>
      <w:r w:rsidR="00070D82" w:rsidRPr="006B65BD">
        <w:rPr>
          <w:rFonts w:asciiTheme="minorHAnsi" w:eastAsia="Times New Roman" w:hAnsiTheme="minorHAnsi" w:cstheme="minorHAnsi"/>
          <w:b/>
          <w:sz w:val="24"/>
          <w:szCs w:val="24"/>
          <w:u w:val="single"/>
        </w:rPr>
        <w:t>IMAGINE AUSTIN COMPREHENSIVE PLAN</w:t>
      </w:r>
    </w:p>
    <w:p w14:paraId="6E2F9954" w14:textId="77777777" w:rsidR="00070D82" w:rsidRPr="006B65BD" w:rsidRDefault="00070D82" w:rsidP="0081112D">
      <w:pPr>
        <w:spacing w:after="0" w:line="240" w:lineRule="auto"/>
        <w:ind w:left="720" w:right="270"/>
        <w:rPr>
          <w:rFonts w:asciiTheme="minorHAnsi" w:eastAsia="Times New Roman" w:hAnsiTheme="minorHAnsi" w:cstheme="minorHAnsi"/>
          <w:b/>
          <w:sz w:val="24"/>
          <w:szCs w:val="24"/>
          <w:u w:val="single"/>
        </w:rPr>
      </w:pPr>
    </w:p>
    <w:p w14:paraId="0C56C0B7"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r w:rsidRPr="006B65BD">
        <w:rPr>
          <w:rFonts w:asciiTheme="minorHAnsi" w:eastAsia="Times New Roman" w:hAnsiTheme="minorHAnsi" w:cstheme="minorHAnsi"/>
          <w:iCs/>
          <w:sz w:val="20"/>
          <w:szCs w:val="20"/>
        </w:rPr>
        <w:t xml:space="preserve">The Austin City Council has directed that all programs funded through this competitive solicitation be consistent with the goals of the Imagine Austin Comprehensive Plan. </w:t>
      </w:r>
    </w:p>
    <w:p w14:paraId="564D86DA"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p>
    <w:p w14:paraId="0EFB0302"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r w:rsidRPr="006B65BD">
        <w:rPr>
          <w:rFonts w:asciiTheme="minorHAnsi" w:eastAsia="Times New Roman" w:hAnsiTheme="minorHAnsi" w:cstheme="minorHAnsi"/>
          <w:iCs/>
          <w:sz w:val="20"/>
          <w:szCs w:val="20"/>
        </w:rPr>
        <w:lastRenderedPageBreak/>
        <w:t xml:space="preserve">Imagine Austin is a 30-year plan for the City’s future and anticipated growth that was developed from extensive community input. Imagine Austin is based on Austin’s greatest asset: its people, and lays out a vision for future City growth. </w:t>
      </w:r>
    </w:p>
    <w:p w14:paraId="4EAF1AE0"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p>
    <w:p w14:paraId="5B30A98D"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r w:rsidRPr="006B65BD">
        <w:rPr>
          <w:rFonts w:asciiTheme="minorHAnsi" w:eastAsia="Times New Roman" w:hAnsiTheme="minorHAnsi" w:cstheme="minorHAnsi"/>
          <w:iCs/>
          <w:sz w:val="20"/>
          <w:szCs w:val="20"/>
        </w:rPr>
        <w:t xml:space="preserve">The Applicant shall indicate how the proposed program strategy/strategies in this application correspond to the Imagine Austin Comprehensive Plan vision statement </w:t>
      </w:r>
      <w:r w:rsidRPr="006B65BD">
        <w:rPr>
          <w:rFonts w:asciiTheme="minorHAnsi" w:eastAsia="Times New Roman" w:hAnsiTheme="minorHAnsi" w:cstheme="minorHAnsi"/>
          <w:b/>
          <w:iCs/>
          <w:sz w:val="20"/>
          <w:szCs w:val="20"/>
        </w:rPr>
        <w:t>and</w:t>
      </w:r>
      <w:r w:rsidRPr="006B65BD">
        <w:rPr>
          <w:rFonts w:asciiTheme="minorHAnsi" w:eastAsia="Times New Roman" w:hAnsiTheme="minorHAnsi" w:cstheme="minorHAnsi"/>
          <w:iCs/>
          <w:sz w:val="20"/>
          <w:szCs w:val="20"/>
        </w:rPr>
        <w:t xml:space="preserve"> one or more of its core mission statements.  </w:t>
      </w:r>
    </w:p>
    <w:p w14:paraId="74E5653B"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p>
    <w:p w14:paraId="1F696E90" w14:textId="0B58B40B" w:rsidR="00070D82" w:rsidRPr="006B65BD" w:rsidRDefault="00070D82" w:rsidP="009C2863">
      <w:pPr>
        <w:spacing w:after="0" w:line="240" w:lineRule="auto"/>
        <w:ind w:left="360" w:right="270"/>
        <w:jc w:val="center"/>
        <w:rPr>
          <w:rFonts w:asciiTheme="minorHAnsi" w:eastAsia="Times New Roman" w:hAnsiTheme="minorHAnsi" w:cstheme="minorHAnsi"/>
          <w:b/>
          <w:iCs/>
          <w:sz w:val="20"/>
          <w:szCs w:val="20"/>
        </w:rPr>
      </w:pPr>
      <w:r w:rsidRPr="006B65BD">
        <w:rPr>
          <w:rFonts w:asciiTheme="minorHAnsi" w:eastAsia="Times New Roman" w:hAnsiTheme="minorHAnsi" w:cstheme="minorHAnsi"/>
          <w:b/>
          <w:iCs/>
          <w:sz w:val="20"/>
          <w:szCs w:val="20"/>
        </w:rPr>
        <w:t>Imagine Austin Comprehensive Plan Vision Statement:</w:t>
      </w:r>
    </w:p>
    <w:p w14:paraId="2AC353F8"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p>
    <w:p w14:paraId="227919C7" w14:textId="77777777" w:rsidR="00070D82" w:rsidRPr="006B65BD" w:rsidRDefault="00070D82" w:rsidP="009C2863">
      <w:pPr>
        <w:pBdr>
          <w:top w:val="single" w:sz="4" w:space="1" w:color="auto"/>
          <w:left w:val="single" w:sz="4" w:space="4" w:color="auto"/>
          <w:bottom w:val="single" w:sz="4" w:space="1" w:color="auto"/>
          <w:right w:val="single" w:sz="4" w:space="4" w:color="auto"/>
        </w:pBdr>
        <w:spacing w:after="0" w:line="240" w:lineRule="auto"/>
        <w:ind w:left="360" w:right="270"/>
        <w:jc w:val="center"/>
        <w:rPr>
          <w:rFonts w:asciiTheme="minorHAnsi" w:eastAsia="Times New Roman" w:hAnsiTheme="minorHAnsi" w:cstheme="minorHAnsi"/>
          <w:b/>
          <w:iCs/>
          <w:sz w:val="20"/>
          <w:szCs w:val="20"/>
        </w:rPr>
      </w:pPr>
      <w:r w:rsidRPr="006B65BD">
        <w:rPr>
          <w:rFonts w:asciiTheme="minorHAnsi" w:eastAsia="Times New Roman" w:hAnsiTheme="minorHAnsi" w:cstheme="minorHAnsi"/>
          <w:b/>
          <w:iCs/>
          <w:sz w:val="20"/>
          <w:szCs w:val="20"/>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1ADEA21D" w14:textId="77777777" w:rsidR="00070D82" w:rsidRPr="006B65BD" w:rsidRDefault="00070D82" w:rsidP="009C2863">
      <w:pPr>
        <w:spacing w:after="0" w:line="240" w:lineRule="auto"/>
        <w:ind w:left="360" w:right="270"/>
        <w:rPr>
          <w:rFonts w:asciiTheme="minorHAnsi" w:eastAsia="Times New Roman" w:hAnsiTheme="minorHAnsi" w:cstheme="minorHAnsi"/>
          <w:b/>
          <w:iCs/>
          <w:sz w:val="20"/>
          <w:szCs w:val="20"/>
        </w:rPr>
      </w:pPr>
    </w:p>
    <w:p w14:paraId="69FDFC90" w14:textId="77777777"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r w:rsidRPr="006B65BD">
        <w:rPr>
          <w:rFonts w:asciiTheme="minorHAnsi" w:eastAsia="Times New Roman" w:hAnsiTheme="minorHAnsi" w:cstheme="minorHAnsi"/>
          <w:b/>
          <w:iCs/>
          <w:sz w:val="20"/>
          <w:szCs w:val="20"/>
        </w:rPr>
        <w:t>Imagine Austin’s core mission statements</w:t>
      </w:r>
      <w:r w:rsidRPr="006B65BD">
        <w:rPr>
          <w:rFonts w:asciiTheme="minorHAnsi" w:eastAsia="Times New Roman" w:hAnsiTheme="minorHAnsi" w:cstheme="minorHAnsi"/>
          <w:iCs/>
          <w:sz w:val="20"/>
          <w:szCs w:val="20"/>
        </w:rPr>
        <w:t>, as they relate to the City’s social service investments, are as follows:</w:t>
      </w:r>
    </w:p>
    <w:p w14:paraId="4FCF0BD5" w14:textId="77777777" w:rsidR="00070D82" w:rsidRPr="006B65BD" w:rsidRDefault="00070D82" w:rsidP="009C2863">
      <w:pPr>
        <w:spacing w:after="0" w:line="240" w:lineRule="auto"/>
        <w:ind w:left="360" w:right="270"/>
        <w:rPr>
          <w:rFonts w:asciiTheme="minorHAnsi" w:eastAsia="Times New Roman" w:hAnsiTheme="minorHAnsi" w:cstheme="minorHAnsi"/>
          <w:b/>
          <w:bCs/>
          <w:iCs/>
          <w:sz w:val="20"/>
          <w:szCs w:val="20"/>
        </w:rPr>
      </w:pPr>
    </w:p>
    <w:p w14:paraId="5505DD51"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
          <w:bCs/>
          <w:iCs/>
          <w:sz w:val="20"/>
          <w:szCs w:val="20"/>
        </w:rPr>
        <w:t>Austin is Livable</w:t>
      </w:r>
      <w:r w:rsidRPr="006B65BD">
        <w:rPr>
          <w:rFonts w:asciiTheme="minorHAnsi" w:eastAsia="Times New Roman" w:hAnsiTheme="minorHAnsi" w:cstheme="minorHAnsi"/>
          <w:bCs/>
          <w:iCs/>
          <w:sz w:val="20"/>
          <w:szCs w:val="20"/>
        </w:rPr>
        <w:t>:  All residents have a variety of urban, suburban, and semi-rural lifestyle choices with access to quality schools, libraries, parks and recreation, health and human services, and other outstanding public facilities and services.</w:t>
      </w:r>
    </w:p>
    <w:p w14:paraId="5D085EB1" w14:textId="77777777" w:rsidR="00070D82" w:rsidRPr="006B65BD" w:rsidRDefault="00070D82" w:rsidP="00646198">
      <w:pPr>
        <w:numPr>
          <w:ilvl w:val="0"/>
          <w:numId w:val="14"/>
        </w:numPr>
        <w:spacing w:after="0" w:line="240" w:lineRule="auto"/>
        <w:ind w:right="270"/>
        <w:rPr>
          <w:rFonts w:asciiTheme="minorHAnsi" w:eastAsia="Times New Roman" w:hAnsiTheme="minorHAnsi" w:cstheme="minorHAnsi"/>
          <w:bCs/>
          <w:iCs/>
          <w:sz w:val="20"/>
          <w:szCs w:val="20"/>
        </w:rPr>
      </w:pPr>
      <w:r w:rsidRPr="006B65BD">
        <w:rPr>
          <w:rFonts w:asciiTheme="minorHAnsi" w:eastAsia="Times New Roman" w:hAnsiTheme="minorHAnsi" w:cstheme="minorHAnsi"/>
          <w:bCs/>
          <w:iCs/>
          <w:sz w:val="20"/>
          <w:szCs w:val="20"/>
        </w:rPr>
        <w:t>Austin’s diverse population is active and healthy, with access to locally-grown, nourishing foods and affordable healthcare</w:t>
      </w:r>
    </w:p>
    <w:p w14:paraId="25258637" w14:textId="77777777" w:rsidR="00070D82" w:rsidRPr="006B65BD" w:rsidRDefault="00070D82" w:rsidP="009C2863">
      <w:pPr>
        <w:spacing w:after="0" w:line="240" w:lineRule="auto"/>
        <w:ind w:left="360" w:right="270"/>
        <w:rPr>
          <w:rFonts w:asciiTheme="minorHAnsi" w:eastAsia="Times New Roman" w:hAnsiTheme="minorHAnsi" w:cstheme="minorHAnsi"/>
          <w:b/>
          <w:bCs/>
          <w:iCs/>
          <w:sz w:val="20"/>
          <w:szCs w:val="20"/>
        </w:rPr>
      </w:pPr>
    </w:p>
    <w:p w14:paraId="2B9AC49F"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
          <w:bCs/>
          <w:iCs/>
          <w:sz w:val="20"/>
          <w:szCs w:val="20"/>
        </w:rPr>
        <w:t>Austin is Educated</w:t>
      </w:r>
      <w:r w:rsidRPr="006B65BD">
        <w:rPr>
          <w:rFonts w:asciiTheme="minorHAnsi" w:eastAsia="Times New Roman" w:hAnsiTheme="minorHAnsi" w:cstheme="minorHAnsi"/>
          <w:bCs/>
          <w:iCs/>
          <w:sz w:val="20"/>
          <w:szCs w:val="20"/>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6B75DD07" w14:textId="77777777" w:rsidR="00070D82" w:rsidRPr="006B65BD" w:rsidRDefault="00070D82" w:rsidP="00646198">
      <w:pPr>
        <w:numPr>
          <w:ilvl w:val="0"/>
          <w:numId w:val="1"/>
        </w:numPr>
        <w:spacing w:after="0" w:line="240" w:lineRule="auto"/>
        <w:ind w:left="72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Cs/>
          <w:iCs/>
          <w:sz w:val="20"/>
          <w:szCs w:val="20"/>
        </w:rPr>
        <w:lastRenderedPageBreak/>
        <w:t>Our school campuses provide safe and stable environments enabling future success</w:t>
      </w:r>
    </w:p>
    <w:p w14:paraId="23AD4A82" w14:textId="77777777" w:rsidR="00070D82" w:rsidRPr="006B65BD" w:rsidRDefault="00070D82" w:rsidP="00646198">
      <w:pPr>
        <w:numPr>
          <w:ilvl w:val="0"/>
          <w:numId w:val="1"/>
        </w:numPr>
        <w:spacing w:after="0" w:line="240" w:lineRule="auto"/>
        <w:ind w:left="72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Cs/>
          <w:iCs/>
          <w:sz w:val="20"/>
          <w:szCs w:val="20"/>
        </w:rPr>
        <w:t>Every child in Austin has the chance to engage with other cultures, communities, and languages, providing pathways for healthy development and the critical thinking skills students need as future citizens of Austin and the world.</w:t>
      </w:r>
    </w:p>
    <w:p w14:paraId="4A102588" w14:textId="77777777" w:rsidR="00070D82" w:rsidRPr="006B65BD" w:rsidRDefault="00070D82" w:rsidP="00917483">
      <w:pPr>
        <w:spacing w:after="0" w:line="240" w:lineRule="auto"/>
        <w:ind w:left="720" w:right="270"/>
        <w:rPr>
          <w:rFonts w:asciiTheme="minorHAnsi" w:eastAsia="Times New Roman" w:hAnsiTheme="minorHAnsi" w:cstheme="minorHAnsi"/>
          <w:b/>
          <w:bCs/>
          <w:iCs/>
          <w:sz w:val="20"/>
          <w:szCs w:val="20"/>
        </w:rPr>
      </w:pPr>
    </w:p>
    <w:p w14:paraId="687CB71C"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
          <w:bCs/>
          <w:iCs/>
          <w:sz w:val="20"/>
          <w:szCs w:val="20"/>
        </w:rPr>
        <w:t>Austin is Prosperous</w:t>
      </w:r>
      <w:r w:rsidRPr="006B65BD">
        <w:rPr>
          <w:rFonts w:asciiTheme="minorHAnsi" w:eastAsia="Times New Roman" w:hAnsiTheme="minorHAnsi" w:cstheme="minorHAnsi"/>
          <w:bCs/>
          <w:iCs/>
          <w:sz w:val="20"/>
          <w:szCs w:val="20"/>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13898BCF" w14:textId="77777777" w:rsidR="00070D82" w:rsidRPr="006B65BD" w:rsidRDefault="00070D82" w:rsidP="00646198">
      <w:pPr>
        <w:numPr>
          <w:ilvl w:val="0"/>
          <w:numId w:val="15"/>
        </w:numPr>
        <w:spacing w:after="0" w:line="240" w:lineRule="auto"/>
        <w:ind w:right="270"/>
        <w:rPr>
          <w:rFonts w:asciiTheme="minorHAnsi" w:eastAsia="Times New Roman" w:hAnsiTheme="minorHAnsi" w:cstheme="minorHAnsi"/>
          <w:bCs/>
          <w:iCs/>
          <w:sz w:val="20"/>
          <w:szCs w:val="20"/>
        </w:rPr>
      </w:pPr>
      <w:r w:rsidRPr="006B65BD">
        <w:rPr>
          <w:rFonts w:asciiTheme="minorHAnsi" w:eastAsia="Times New Roman" w:hAnsiTheme="minorHAnsi" w:cstheme="minorHAnsi"/>
          <w:bCs/>
          <w:iCs/>
          <w:sz w:val="20"/>
          <w:szCs w:val="20"/>
        </w:rPr>
        <w:t>Equitable opportunities are accessible to all through quality education, training, and good jobs</w:t>
      </w:r>
    </w:p>
    <w:p w14:paraId="1EC5477D" w14:textId="77777777" w:rsidR="00070D82" w:rsidRPr="006B65BD" w:rsidRDefault="00070D82" w:rsidP="009C2863">
      <w:pPr>
        <w:spacing w:after="0" w:line="240" w:lineRule="auto"/>
        <w:ind w:left="360" w:right="270"/>
        <w:rPr>
          <w:rFonts w:asciiTheme="minorHAnsi" w:eastAsia="Times New Roman" w:hAnsiTheme="minorHAnsi" w:cstheme="minorHAnsi"/>
          <w:b/>
          <w:bCs/>
          <w:iCs/>
          <w:sz w:val="20"/>
          <w:szCs w:val="20"/>
        </w:rPr>
      </w:pPr>
    </w:p>
    <w:p w14:paraId="11543E3C"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
          <w:bCs/>
          <w:iCs/>
          <w:sz w:val="20"/>
          <w:szCs w:val="20"/>
        </w:rPr>
        <w:t>Austin Values and Respects its People</w:t>
      </w:r>
      <w:r w:rsidRPr="006B65BD">
        <w:rPr>
          <w:rFonts w:asciiTheme="minorHAnsi" w:eastAsia="Times New Roman" w:hAnsiTheme="minorHAnsi" w:cstheme="minorHAnsi"/>
          <w:bCs/>
          <w:iCs/>
          <w:sz w:val="20"/>
          <w:szCs w:val="20"/>
        </w:rPr>
        <w:t>:  Austin is its people. Our city is home to engaged, compassionate, creative, and independent thinking people, where diversity is a source of strength, and where we have the opportunity to fully participate and fulfill our potential.</w:t>
      </w:r>
    </w:p>
    <w:p w14:paraId="040C3D1C"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r w:rsidRPr="006B65BD">
        <w:rPr>
          <w:rFonts w:asciiTheme="minorHAnsi" w:eastAsia="Times New Roman" w:hAnsiTheme="minorHAnsi" w:cstheme="minorHAnsi"/>
          <w:bCs/>
          <w:iCs/>
          <w:sz w:val="20"/>
          <w:szCs w:val="20"/>
        </w:rPr>
        <w:t>People across all parts of the city and of all ages and income levels live in safe, stable neighborhoods with a variety of affordable and accessible homes with access to healthy food, economic opportunity, healthcare, education, and transportation</w:t>
      </w:r>
    </w:p>
    <w:p w14:paraId="29598598" w14:textId="77777777" w:rsidR="00070D82" w:rsidRPr="006B65BD" w:rsidRDefault="00070D82" w:rsidP="009C2863">
      <w:pPr>
        <w:spacing w:after="0" w:line="240" w:lineRule="auto"/>
        <w:ind w:left="360" w:right="270"/>
        <w:rPr>
          <w:rFonts w:asciiTheme="minorHAnsi" w:eastAsia="Times New Roman" w:hAnsiTheme="minorHAnsi" w:cstheme="minorHAnsi"/>
          <w:bCs/>
          <w:iCs/>
          <w:sz w:val="20"/>
          <w:szCs w:val="20"/>
        </w:rPr>
      </w:pPr>
    </w:p>
    <w:p w14:paraId="67E443A2" w14:textId="7CD9C58E" w:rsidR="00070D82" w:rsidRPr="006B65BD" w:rsidRDefault="00070D82" w:rsidP="009C2863">
      <w:pPr>
        <w:spacing w:after="0" w:line="240" w:lineRule="auto"/>
        <w:ind w:left="360" w:right="270"/>
        <w:rPr>
          <w:rFonts w:asciiTheme="minorHAnsi" w:eastAsia="Times New Roman" w:hAnsiTheme="minorHAnsi" w:cstheme="minorHAnsi"/>
          <w:iCs/>
          <w:sz w:val="20"/>
          <w:szCs w:val="20"/>
        </w:rPr>
      </w:pPr>
      <w:r w:rsidRPr="006B65BD">
        <w:rPr>
          <w:rFonts w:asciiTheme="minorHAnsi" w:eastAsia="Times New Roman" w:hAnsiTheme="minorHAnsi" w:cstheme="minorHAnsi"/>
          <w:bCs/>
          <w:iCs/>
          <w:sz w:val="20"/>
          <w:szCs w:val="20"/>
        </w:rPr>
        <w:t xml:space="preserve">The full Imagine Austin Plan is available at </w:t>
      </w:r>
      <w:hyperlink r:id="rId12" w:history="1">
        <w:r w:rsidRPr="006B65BD">
          <w:rPr>
            <w:rFonts w:asciiTheme="minorHAnsi" w:eastAsia="Times New Roman" w:hAnsiTheme="minorHAnsi" w:cstheme="minorHAnsi"/>
            <w:iCs/>
            <w:color w:val="0000FF"/>
            <w:sz w:val="20"/>
            <w:szCs w:val="20"/>
            <w:u w:val="single"/>
          </w:rPr>
          <w:t>http://assets.austintexas.gov///webiacpfullreduced.pdf</w:t>
        </w:r>
      </w:hyperlink>
      <w:r w:rsidRPr="006B65BD">
        <w:rPr>
          <w:rFonts w:asciiTheme="minorHAnsi" w:eastAsia="Times New Roman" w:hAnsiTheme="minorHAnsi" w:cstheme="minorHAnsi"/>
          <w:iCs/>
          <w:sz w:val="20"/>
          <w:szCs w:val="20"/>
        </w:rPr>
        <w:t xml:space="preserve">.  </w:t>
      </w:r>
    </w:p>
    <w:p w14:paraId="352160B0" w14:textId="77777777" w:rsidR="0081112D" w:rsidRPr="006B65BD" w:rsidRDefault="0081112D" w:rsidP="009C2863">
      <w:pPr>
        <w:spacing w:after="0" w:line="240" w:lineRule="auto"/>
        <w:ind w:left="360" w:right="270"/>
        <w:rPr>
          <w:rFonts w:asciiTheme="minorHAnsi" w:eastAsia="Times New Roman" w:hAnsiTheme="minorHAnsi" w:cstheme="minorHAnsi"/>
          <w:iCs/>
          <w:sz w:val="20"/>
          <w:szCs w:val="20"/>
        </w:rPr>
        <w:sectPr w:rsidR="0081112D" w:rsidRPr="006B65BD" w:rsidSect="0097784C">
          <w:headerReference w:type="default" r:id="rId13"/>
          <w:footerReference w:type="default" r:id="rId14"/>
          <w:pgSz w:w="12240" w:h="15840"/>
          <w:pgMar w:top="1440" w:right="1440" w:bottom="1440" w:left="1440" w:header="720" w:footer="720" w:gutter="0"/>
          <w:cols w:space="720"/>
          <w:docGrid w:linePitch="360"/>
        </w:sectPr>
      </w:pPr>
    </w:p>
    <w:p w14:paraId="037B71B5" w14:textId="393515E2" w:rsidR="004354D6" w:rsidRPr="006B65BD" w:rsidRDefault="004354D6" w:rsidP="00D53E59">
      <w:pPr>
        <w:widowControl w:val="0"/>
        <w:pBdr>
          <w:top w:val="single" w:sz="18" w:space="1" w:color="auto"/>
          <w:left w:val="single" w:sz="18" w:space="4" w:color="auto"/>
          <w:bottom w:val="single" w:sz="18" w:space="1" w:color="auto"/>
          <w:right w:val="single" w:sz="18" w:space="4" w:color="auto"/>
        </w:pBdr>
        <w:shd w:val="clear" w:color="auto" w:fill="D9D9D9"/>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center"/>
        <w:rPr>
          <w:rFonts w:asciiTheme="minorHAnsi" w:eastAsia="Times New Roman" w:hAnsiTheme="minorHAnsi" w:cstheme="minorHAnsi"/>
          <w:b/>
          <w:sz w:val="32"/>
          <w:szCs w:val="32"/>
        </w:rPr>
      </w:pPr>
      <w:r w:rsidRPr="006B65BD">
        <w:rPr>
          <w:rFonts w:asciiTheme="minorHAnsi" w:eastAsia="Times New Roman" w:hAnsiTheme="minorHAnsi" w:cstheme="minorHAnsi"/>
          <w:b/>
          <w:sz w:val="32"/>
          <w:szCs w:val="32"/>
        </w:rPr>
        <w:lastRenderedPageBreak/>
        <w:t xml:space="preserve">ALLOWABLE SERVICE CATEGORY INFORMATION </w:t>
      </w:r>
    </w:p>
    <w:p w14:paraId="31C5F1EA" w14:textId="77777777" w:rsidR="004354D6" w:rsidRPr="006B65BD" w:rsidRDefault="004354D6" w:rsidP="004038D2">
      <w:pPr>
        <w:spacing w:after="0" w:line="240" w:lineRule="auto"/>
        <w:rPr>
          <w:rFonts w:asciiTheme="minorHAnsi" w:eastAsia="Times New Roman" w:hAnsiTheme="minorHAnsi" w:cstheme="minorHAnsi"/>
          <w:b/>
          <w:sz w:val="32"/>
          <w:szCs w:val="32"/>
        </w:rPr>
      </w:pPr>
    </w:p>
    <w:p w14:paraId="11DE6A96" w14:textId="77777777" w:rsidR="00FB7F5B" w:rsidRPr="006B65BD" w:rsidRDefault="004354D6" w:rsidP="004354D6">
      <w:pPr>
        <w:pStyle w:val="ListParagraph"/>
        <w:spacing w:after="0" w:line="240" w:lineRule="auto"/>
        <w:ind w:left="0"/>
        <w:rPr>
          <w:rFonts w:asciiTheme="minorHAnsi" w:eastAsia="Times New Roman" w:hAnsiTheme="minorHAnsi" w:cstheme="minorHAnsi"/>
          <w:sz w:val="24"/>
          <w:szCs w:val="24"/>
        </w:rPr>
      </w:pPr>
      <w:r w:rsidRPr="006B65BD">
        <w:rPr>
          <w:rFonts w:asciiTheme="minorHAnsi" w:eastAsia="Times New Roman" w:hAnsiTheme="minorHAnsi" w:cstheme="minorHAnsi"/>
          <w:b/>
          <w:sz w:val="32"/>
          <w:szCs w:val="32"/>
        </w:rPr>
        <w:t>Early Intervention Services (EIS)</w:t>
      </w:r>
      <w:r w:rsidRPr="006B65BD">
        <w:rPr>
          <w:rFonts w:asciiTheme="minorHAnsi" w:eastAsia="Times New Roman" w:hAnsiTheme="minorHAnsi" w:cstheme="minorHAnsi"/>
          <w:sz w:val="24"/>
          <w:szCs w:val="24"/>
        </w:rPr>
        <w:t xml:space="preserve"> </w:t>
      </w:r>
    </w:p>
    <w:p w14:paraId="1CABC866" w14:textId="517C0807" w:rsidR="004354D6" w:rsidRPr="006B65BD" w:rsidRDefault="004354D6" w:rsidP="00646198">
      <w:pPr>
        <w:pStyle w:val="ListParagraph"/>
        <w:numPr>
          <w:ilvl w:val="0"/>
          <w:numId w:val="11"/>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Applicant must directly provide, or proposed subcontractor(s) must directly provide, all </w:t>
      </w:r>
      <w:r w:rsidR="003B583B" w:rsidRPr="006B65BD">
        <w:rPr>
          <w:rFonts w:asciiTheme="minorHAnsi" w:eastAsia="Times New Roman" w:hAnsiTheme="minorHAnsi" w:cstheme="minorHAnsi"/>
          <w:sz w:val="24"/>
          <w:szCs w:val="24"/>
        </w:rPr>
        <w:t>four services</w:t>
      </w:r>
      <w:r w:rsidRPr="006B65BD">
        <w:rPr>
          <w:rFonts w:asciiTheme="minorHAnsi" w:eastAsia="Times New Roman" w:hAnsiTheme="minorHAnsi" w:cstheme="minorHAnsi"/>
          <w:sz w:val="24"/>
          <w:szCs w:val="24"/>
        </w:rPr>
        <w:t xml:space="preserve"> bulleted below in an EIS program proposed in the Application. .  If any of the four components are or will be funded through a different source than funding proposed in this Application, clearly explain what services will be provided by what funder.</w:t>
      </w:r>
    </w:p>
    <w:p w14:paraId="0533A49C" w14:textId="77777777" w:rsidR="004354D6" w:rsidRPr="006B65BD" w:rsidRDefault="004354D6" w:rsidP="00646198">
      <w:pPr>
        <w:pStyle w:val="ListParagraph"/>
        <w:numPr>
          <w:ilvl w:val="0"/>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Targeted HIV testing to help the unaware learn of their HIV status and receive referral to HIV care and treatment services if found to be HIV positive</w:t>
      </w:r>
    </w:p>
    <w:p w14:paraId="293EA6F3" w14:textId="3FA47683" w:rsidR="004354D6" w:rsidRPr="006B65BD" w:rsidRDefault="004354D6" w:rsidP="00646198">
      <w:pPr>
        <w:pStyle w:val="ListParagraph"/>
        <w:numPr>
          <w:ilvl w:val="1"/>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Recipients must coordinate these testing services with other HIV prevention and testing programs to avoid duplication of efforts.</w:t>
      </w:r>
    </w:p>
    <w:p w14:paraId="63978D8B" w14:textId="37F5D939" w:rsidR="004354D6" w:rsidRPr="006B65BD" w:rsidRDefault="004354D6" w:rsidP="00646198">
      <w:pPr>
        <w:pStyle w:val="ListParagraph"/>
        <w:numPr>
          <w:ilvl w:val="1"/>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HIV testing paid for by EIS cannot supplant testing efforts paid for by other sources.</w:t>
      </w:r>
    </w:p>
    <w:p w14:paraId="481E0276" w14:textId="77777777" w:rsidR="004354D6" w:rsidRPr="006B65BD" w:rsidRDefault="004354D6" w:rsidP="00646198">
      <w:pPr>
        <w:pStyle w:val="ListParagraph"/>
        <w:numPr>
          <w:ilvl w:val="0"/>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Referral services to improve HIV care and treatment services at key points of entry</w:t>
      </w:r>
    </w:p>
    <w:p w14:paraId="42513119" w14:textId="77777777" w:rsidR="004354D6" w:rsidRPr="006B65BD" w:rsidRDefault="004354D6" w:rsidP="00646198">
      <w:pPr>
        <w:pStyle w:val="ListParagraph"/>
        <w:numPr>
          <w:ilvl w:val="0"/>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Access and linkage to HIV care and treatment services such as HIV Outpatient/Ambulatory Health Services, Medical Case Management, Mental Health Services, and Substance Abuse Care</w:t>
      </w:r>
    </w:p>
    <w:p w14:paraId="0E02517D" w14:textId="0D44B319" w:rsidR="004354D6" w:rsidRPr="006B65BD" w:rsidRDefault="004354D6" w:rsidP="00646198">
      <w:pPr>
        <w:pStyle w:val="ListParagraph"/>
        <w:numPr>
          <w:ilvl w:val="0"/>
          <w:numId w:val="9"/>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lastRenderedPageBreak/>
        <w:t>Outreach Services and Health Education/Risk Reduction related to HIV diagnosis</w:t>
      </w:r>
    </w:p>
    <w:p w14:paraId="1F977969" w14:textId="77777777" w:rsidR="00A502DA" w:rsidRPr="006B65BD" w:rsidRDefault="00A502DA" w:rsidP="00A502DA">
      <w:pPr>
        <w:spacing w:after="0" w:line="240" w:lineRule="auto"/>
        <w:rPr>
          <w:rFonts w:asciiTheme="minorHAnsi" w:eastAsia="Times New Roman" w:hAnsiTheme="minorHAnsi" w:cstheme="minorHAnsi"/>
          <w:sz w:val="24"/>
          <w:szCs w:val="24"/>
        </w:rPr>
      </w:pPr>
    </w:p>
    <w:p w14:paraId="798396E6" w14:textId="07BCCD29" w:rsidR="00A502DA" w:rsidRPr="006B65BD" w:rsidRDefault="00A502DA" w:rsidP="00646198">
      <w:pPr>
        <w:pStyle w:val="ListParagraph"/>
        <w:numPr>
          <w:ilvl w:val="0"/>
          <w:numId w:val="11"/>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Unit of Service Definition: Per encounter with client previously unlinked to care</w:t>
      </w:r>
    </w:p>
    <w:p w14:paraId="09FCE3D5" w14:textId="77777777" w:rsidR="004354D6" w:rsidRPr="006B65BD" w:rsidRDefault="004354D6" w:rsidP="004354D6">
      <w:pPr>
        <w:pStyle w:val="ListParagraph"/>
        <w:spacing w:after="0" w:line="240" w:lineRule="auto"/>
        <w:ind w:left="360"/>
        <w:rPr>
          <w:rFonts w:asciiTheme="minorHAnsi" w:eastAsia="Times New Roman" w:hAnsiTheme="minorHAnsi" w:cstheme="minorHAnsi"/>
          <w:b/>
          <w:sz w:val="24"/>
          <w:szCs w:val="24"/>
          <w:u w:val="single"/>
        </w:rPr>
      </w:pPr>
    </w:p>
    <w:p w14:paraId="45BD176E" w14:textId="77777777" w:rsidR="004354D6" w:rsidRPr="006B65BD" w:rsidRDefault="004354D6" w:rsidP="007E1F74">
      <w:pPr>
        <w:pStyle w:val="ListParagraph"/>
        <w:spacing w:after="0" w:line="240" w:lineRule="auto"/>
        <w:ind w:left="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REQUIRED OUTCOME MEASURE</w:t>
      </w:r>
      <w:r w:rsidR="00FB7F5B" w:rsidRPr="006B65BD">
        <w:rPr>
          <w:rFonts w:asciiTheme="minorHAnsi" w:eastAsia="Times New Roman" w:hAnsiTheme="minorHAnsi" w:cstheme="minorHAnsi"/>
          <w:b/>
          <w:sz w:val="24"/>
          <w:szCs w:val="24"/>
          <w:u w:val="single"/>
        </w:rPr>
        <w:t xml:space="preserve"> </w:t>
      </w:r>
      <w:r w:rsidRPr="006B65BD">
        <w:rPr>
          <w:rFonts w:asciiTheme="minorHAnsi" w:eastAsia="Times New Roman" w:hAnsiTheme="minorHAnsi" w:cstheme="minorHAnsi"/>
          <w:b/>
          <w:sz w:val="24"/>
          <w:szCs w:val="24"/>
          <w:u w:val="single"/>
        </w:rPr>
        <w:t>FOR E</w:t>
      </w:r>
      <w:r w:rsidR="00FB7F5B" w:rsidRPr="006B65BD">
        <w:rPr>
          <w:rFonts w:asciiTheme="minorHAnsi" w:eastAsia="Times New Roman" w:hAnsiTheme="minorHAnsi" w:cstheme="minorHAnsi"/>
          <w:b/>
          <w:sz w:val="24"/>
          <w:szCs w:val="24"/>
          <w:u w:val="single"/>
        </w:rPr>
        <w:t>ARLY INTERVENTION SERVICES</w:t>
      </w:r>
      <w:r w:rsidRPr="006B65BD">
        <w:rPr>
          <w:rFonts w:asciiTheme="minorHAnsi" w:eastAsia="Times New Roman" w:hAnsiTheme="minorHAnsi" w:cstheme="minorHAnsi"/>
          <w:b/>
          <w:sz w:val="24"/>
          <w:szCs w:val="24"/>
          <w:u w:val="single"/>
        </w:rPr>
        <w:t>:</w:t>
      </w:r>
    </w:p>
    <w:p w14:paraId="0238A185"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686"/>
        <w:gridCol w:w="1628"/>
      </w:tblGrid>
      <w:tr w:rsidR="004354D6" w:rsidRPr="006B65BD" w14:paraId="5F90053E" w14:textId="77777777" w:rsidTr="00DE25B5">
        <w:tc>
          <w:tcPr>
            <w:tcW w:w="4126" w:type="pct"/>
          </w:tcPr>
          <w:p w14:paraId="51991487"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Early Intervention Services Program -</w:t>
            </w:r>
            <w:r w:rsidRPr="006B65BD">
              <w:rPr>
                <w:rFonts w:asciiTheme="minorHAnsi" w:eastAsia="Times New Roman" w:hAnsiTheme="minorHAnsi" w:cstheme="minorHAnsi"/>
                <w:color w:val="000000"/>
                <w:sz w:val="20"/>
                <w:szCs w:val="20"/>
              </w:rPr>
              <w:t xml:space="preserve"> </w:t>
            </w:r>
            <w:r w:rsidRPr="006B65BD">
              <w:rPr>
                <w:rFonts w:asciiTheme="minorHAnsi" w:eastAsia="Times New Roman" w:hAnsiTheme="minorHAnsi" w:cstheme="minorHAnsi"/>
                <w:b/>
                <w:color w:val="000000"/>
                <w:sz w:val="20"/>
                <w:szCs w:val="20"/>
              </w:rPr>
              <w:t xml:space="preserve">OUTCOME #1   </w:t>
            </w:r>
          </w:p>
        </w:tc>
        <w:tc>
          <w:tcPr>
            <w:tcW w:w="874" w:type="pct"/>
          </w:tcPr>
          <w:p w14:paraId="78B55523"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77C554E5" w14:textId="77777777" w:rsidTr="00DE25B5">
        <w:trPr>
          <w:cantSplit/>
          <w:trHeight w:val="473"/>
        </w:trPr>
        <w:tc>
          <w:tcPr>
            <w:tcW w:w="4126" w:type="pct"/>
            <w:shd w:val="clear" w:color="auto" w:fill="D9D9D9"/>
          </w:tcPr>
          <w:p w14:paraId="3325FA29" w14:textId="3EEC10A1"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Patients, regardless of age, who attended a routine HIV medical care visit within one month of diagnosis</w:t>
            </w:r>
          </w:p>
        </w:tc>
        <w:tc>
          <w:tcPr>
            <w:tcW w:w="874" w:type="pct"/>
            <w:shd w:val="clear" w:color="auto" w:fill="D9D9D9"/>
          </w:tcPr>
          <w:p w14:paraId="52FABA2E"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5C649836" w14:textId="77777777" w:rsidTr="00DE25B5">
        <w:trPr>
          <w:cantSplit/>
        </w:trPr>
        <w:tc>
          <w:tcPr>
            <w:tcW w:w="4126" w:type="pct"/>
          </w:tcPr>
          <w:p w14:paraId="6856BB64" w14:textId="2C5E7645"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Numerator: </w:t>
            </w:r>
            <w:r w:rsidRPr="006B65BD">
              <w:rPr>
                <w:rFonts w:asciiTheme="minorHAnsi" w:eastAsia="Times New Roman" w:hAnsiTheme="minorHAnsi" w:cstheme="minorHAnsi"/>
                <w:color w:val="000000"/>
                <w:sz w:val="20"/>
                <w:szCs w:val="20"/>
              </w:rPr>
              <w:t>Number of patients who attended a routine HIV medical care visit wi</w:t>
            </w:r>
            <w:r w:rsidR="00394672">
              <w:rPr>
                <w:rFonts w:asciiTheme="minorHAnsi" w:eastAsia="Times New Roman" w:hAnsiTheme="minorHAnsi" w:cstheme="minorHAnsi"/>
                <w:color w:val="000000"/>
                <w:sz w:val="20"/>
                <w:szCs w:val="20"/>
              </w:rPr>
              <w:t>thin one month of HIV diagnosis</w:t>
            </w:r>
          </w:p>
        </w:tc>
        <w:tc>
          <w:tcPr>
            <w:tcW w:w="874" w:type="pct"/>
          </w:tcPr>
          <w:p w14:paraId="625FE23D"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1377221E"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6E087982" w14:textId="77777777" w:rsidTr="00DE25B5">
        <w:trPr>
          <w:cantSplit/>
        </w:trPr>
        <w:tc>
          <w:tcPr>
            <w:tcW w:w="4126" w:type="pct"/>
          </w:tcPr>
          <w:p w14:paraId="1A303C1E" w14:textId="707EE714"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Denominator: </w:t>
            </w:r>
            <w:r w:rsidRPr="006B65BD">
              <w:rPr>
                <w:rFonts w:asciiTheme="minorHAnsi" w:eastAsia="Times New Roman" w:hAnsiTheme="minorHAnsi" w:cstheme="minorHAnsi"/>
                <w:color w:val="000000"/>
                <w:sz w:val="20"/>
                <w:szCs w:val="20"/>
              </w:rPr>
              <w:t xml:space="preserve">Number of patients, regardless of age, with an HIV diagnosis </w:t>
            </w:r>
            <w:r w:rsidR="00394672">
              <w:rPr>
                <w:rFonts w:asciiTheme="minorHAnsi" w:eastAsia="Times New Roman" w:hAnsiTheme="minorHAnsi" w:cstheme="minorHAnsi"/>
                <w:color w:val="000000"/>
                <w:sz w:val="20"/>
                <w:szCs w:val="20"/>
              </w:rPr>
              <w:t>in a 12-month measurement year</w:t>
            </w:r>
          </w:p>
        </w:tc>
        <w:tc>
          <w:tcPr>
            <w:tcW w:w="874" w:type="pct"/>
          </w:tcPr>
          <w:p w14:paraId="477EFEF9"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486435E5" w14:textId="77777777" w:rsidTr="00DE25B5">
        <w:trPr>
          <w:cantSplit/>
        </w:trPr>
        <w:tc>
          <w:tcPr>
            <w:tcW w:w="4126" w:type="pct"/>
          </w:tcPr>
          <w:p w14:paraId="562A7560"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Outcome Rate:</w:t>
            </w:r>
          </w:p>
        </w:tc>
        <w:tc>
          <w:tcPr>
            <w:tcW w:w="874" w:type="pct"/>
          </w:tcPr>
          <w:p w14:paraId="35E5B52C"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75%</w:t>
            </w:r>
          </w:p>
        </w:tc>
      </w:tr>
    </w:tbl>
    <w:p w14:paraId="47747506"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p w14:paraId="59BA310F"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p w14:paraId="56F8EA09" w14:textId="77777777" w:rsidR="004354D6" w:rsidRPr="006B65BD" w:rsidRDefault="00FB7F5B" w:rsidP="004354D6">
      <w:pPr>
        <w:pStyle w:val="ListParagraph"/>
        <w:spacing w:after="0" w:line="240" w:lineRule="auto"/>
        <w:ind w:left="0"/>
        <w:rPr>
          <w:rFonts w:asciiTheme="minorHAnsi" w:eastAsia="Times New Roman" w:hAnsiTheme="minorHAnsi" w:cstheme="minorHAnsi"/>
          <w:sz w:val="24"/>
          <w:szCs w:val="24"/>
        </w:rPr>
      </w:pPr>
      <w:r w:rsidRPr="006B65BD">
        <w:rPr>
          <w:rFonts w:asciiTheme="minorHAnsi" w:eastAsia="Times New Roman" w:hAnsiTheme="minorHAnsi" w:cstheme="minorHAnsi"/>
          <w:b/>
          <w:sz w:val="32"/>
          <w:szCs w:val="32"/>
        </w:rPr>
        <w:br w:type="page"/>
      </w:r>
      <w:r w:rsidR="004354D6" w:rsidRPr="006B65BD">
        <w:rPr>
          <w:rFonts w:asciiTheme="minorHAnsi" w:eastAsia="Times New Roman" w:hAnsiTheme="minorHAnsi" w:cstheme="minorHAnsi"/>
          <w:b/>
          <w:sz w:val="32"/>
          <w:szCs w:val="32"/>
        </w:rPr>
        <w:lastRenderedPageBreak/>
        <w:t>Housing Services</w:t>
      </w:r>
      <w:r w:rsidR="004354D6" w:rsidRPr="006B65BD">
        <w:rPr>
          <w:rFonts w:asciiTheme="minorHAnsi" w:eastAsia="Times New Roman" w:hAnsiTheme="minorHAnsi" w:cstheme="minorHAnsi"/>
          <w:sz w:val="24"/>
          <w:szCs w:val="24"/>
        </w:rPr>
        <w:t xml:space="preserve"> </w:t>
      </w:r>
    </w:p>
    <w:p w14:paraId="26373017" w14:textId="42C56020" w:rsidR="004354D6" w:rsidRPr="006B65BD" w:rsidRDefault="004354D6" w:rsidP="00646198">
      <w:pPr>
        <w:pStyle w:val="ListParagraph"/>
        <w:numPr>
          <w:ilvl w:val="0"/>
          <w:numId w:val="10"/>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Applications in this Se</w:t>
      </w:r>
      <w:r w:rsidR="00681FBF">
        <w:rPr>
          <w:rFonts w:asciiTheme="minorHAnsi" w:eastAsia="Times New Roman" w:hAnsiTheme="minorHAnsi" w:cstheme="minorHAnsi"/>
          <w:sz w:val="24"/>
          <w:szCs w:val="24"/>
        </w:rPr>
        <w:t>rvice Category may include one or more of the following</w:t>
      </w:r>
      <w:r w:rsidRPr="006B65BD">
        <w:rPr>
          <w:rFonts w:asciiTheme="minorHAnsi" w:eastAsia="Times New Roman" w:hAnsiTheme="minorHAnsi" w:cstheme="minorHAnsi"/>
          <w:sz w:val="24"/>
          <w:szCs w:val="24"/>
        </w:rPr>
        <w:t>:</w:t>
      </w:r>
    </w:p>
    <w:p w14:paraId="7AFA8408" w14:textId="690A1BA3" w:rsidR="003B583B" w:rsidRDefault="004354D6" w:rsidP="00646198">
      <w:pPr>
        <w:pStyle w:val="NoSpacing"/>
        <w:numPr>
          <w:ilvl w:val="0"/>
          <w:numId w:val="5"/>
        </w:numPr>
        <w:rPr>
          <w:rFonts w:asciiTheme="minorHAnsi" w:hAnsiTheme="minorHAnsi" w:cstheme="minorHAnsi"/>
          <w:sz w:val="24"/>
          <w:szCs w:val="24"/>
        </w:rPr>
      </w:pPr>
      <w:r w:rsidRPr="006B65BD">
        <w:rPr>
          <w:rFonts w:asciiTheme="minorHAnsi" w:hAnsiTheme="minorHAnsi" w:cstheme="minorHAnsi"/>
          <w:sz w:val="24"/>
          <w:szCs w:val="24"/>
        </w:rPr>
        <w:t>Short-term</w:t>
      </w:r>
      <w:r w:rsidR="009C5EBF">
        <w:rPr>
          <w:rFonts w:asciiTheme="minorHAnsi" w:hAnsiTheme="minorHAnsi" w:cstheme="minorHAnsi"/>
          <w:sz w:val="24"/>
          <w:szCs w:val="24"/>
        </w:rPr>
        <w:t xml:space="preserve">, medically-supported housing </w:t>
      </w:r>
      <w:r w:rsidR="003B583B" w:rsidRPr="006B65BD">
        <w:rPr>
          <w:rFonts w:asciiTheme="minorHAnsi" w:hAnsiTheme="minorHAnsi" w:cstheme="minorHAnsi"/>
          <w:sz w:val="24"/>
          <w:szCs w:val="24"/>
        </w:rPr>
        <w:t xml:space="preserve">for recuperative care.  Housing must include </w:t>
      </w:r>
      <w:r w:rsidRPr="006B65BD">
        <w:rPr>
          <w:rFonts w:asciiTheme="minorHAnsi" w:hAnsiTheme="minorHAnsi" w:cstheme="minorHAnsi"/>
          <w:sz w:val="24"/>
          <w:szCs w:val="24"/>
        </w:rPr>
        <w:t xml:space="preserve">an individualized housing plan to guide the client’s linkage to </w:t>
      </w:r>
      <w:r w:rsidR="00681FBF">
        <w:rPr>
          <w:rFonts w:asciiTheme="minorHAnsi" w:hAnsiTheme="minorHAnsi" w:cstheme="minorHAnsi"/>
          <w:sz w:val="24"/>
          <w:szCs w:val="24"/>
        </w:rPr>
        <w:t>long-term housing</w:t>
      </w:r>
    </w:p>
    <w:p w14:paraId="4B5A5145" w14:textId="0F06FAB2" w:rsidR="00681FBF" w:rsidRPr="006B65BD" w:rsidRDefault="00681FBF" w:rsidP="0064619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End-of-Life Care </w:t>
      </w:r>
      <w:r w:rsidR="009C5EBF">
        <w:rPr>
          <w:rFonts w:asciiTheme="minorHAnsi" w:hAnsiTheme="minorHAnsi" w:cstheme="minorHAnsi"/>
          <w:sz w:val="24"/>
          <w:szCs w:val="24"/>
        </w:rPr>
        <w:t xml:space="preserve">medically-supported housing and essential related </w:t>
      </w:r>
      <w:r>
        <w:rPr>
          <w:rFonts w:asciiTheme="minorHAnsi" w:hAnsiTheme="minorHAnsi" w:cstheme="minorHAnsi"/>
          <w:sz w:val="24"/>
          <w:szCs w:val="24"/>
        </w:rPr>
        <w:t>services provided to clients in the terminal stage of an HIV-related illness</w:t>
      </w:r>
    </w:p>
    <w:p w14:paraId="6FDA278F" w14:textId="77777777" w:rsidR="004354D6" w:rsidRPr="006B65BD" w:rsidRDefault="004354D6" w:rsidP="004354D6">
      <w:pPr>
        <w:pStyle w:val="NoSpacing"/>
        <w:rPr>
          <w:rFonts w:asciiTheme="minorHAnsi" w:hAnsiTheme="minorHAnsi" w:cstheme="minorHAnsi"/>
          <w:sz w:val="24"/>
          <w:szCs w:val="24"/>
        </w:rPr>
      </w:pPr>
    </w:p>
    <w:p w14:paraId="1F2C90D6" w14:textId="77777777" w:rsidR="004354D6" w:rsidRPr="006B65BD" w:rsidRDefault="004354D6" w:rsidP="00646198">
      <w:pPr>
        <w:pStyle w:val="ListParagraph"/>
        <w:numPr>
          <w:ilvl w:val="0"/>
          <w:numId w:val="2"/>
        </w:numPr>
        <w:spacing w:after="0" w:line="240" w:lineRule="auto"/>
        <w:rPr>
          <w:rFonts w:asciiTheme="minorHAnsi" w:eastAsia="Times New Roman" w:hAnsiTheme="minorHAnsi" w:cstheme="minorHAnsi"/>
          <w:sz w:val="24"/>
          <w:szCs w:val="24"/>
          <w:u w:val="single"/>
        </w:rPr>
      </w:pPr>
      <w:r w:rsidRPr="006B65BD">
        <w:rPr>
          <w:rFonts w:asciiTheme="minorHAnsi" w:eastAsia="Times New Roman" w:hAnsiTheme="minorHAnsi" w:cstheme="minorHAnsi"/>
          <w:sz w:val="24"/>
          <w:szCs w:val="24"/>
          <w:u w:val="single"/>
        </w:rPr>
        <w:t>Unit of Service Definition: Per day</w:t>
      </w:r>
    </w:p>
    <w:p w14:paraId="0BBD2D33" w14:textId="77777777" w:rsidR="004354D6" w:rsidRPr="006B65BD" w:rsidRDefault="004354D6" w:rsidP="004354D6">
      <w:pPr>
        <w:pStyle w:val="ListParagraph"/>
        <w:spacing w:after="0" w:line="240" w:lineRule="auto"/>
        <w:rPr>
          <w:rFonts w:asciiTheme="minorHAnsi" w:eastAsia="Times New Roman" w:hAnsiTheme="minorHAnsi" w:cstheme="minorHAnsi"/>
          <w:sz w:val="24"/>
          <w:szCs w:val="24"/>
          <w:u w:val="single"/>
        </w:rPr>
      </w:pPr>
    </w:p>
    <w:p w14:paraId="737BADA1" w14:textId="77777777" w:rsidR="004354D6" w:rsidRPr="006B65BD" w:rsidRDefault="004354D6" w:rsidP="007E1F74">
      <w:pPr>
        <w:pStyle w:val="ListParagraph"/>
        <w:spacing w:after="0" w:line="240" w:lineRule="auto"/>
        <w:ind w:left="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REQUIRED OUTCOME MEASURES FOR HOUSING SERVICES:</w:t>
      </w:r>
    </w:p>
    <w:p w14:paraId="6AC0EADA"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07"/>
        <w:gridCol w:w="1507"/>
      </w:tblGrid>
      <w:tr w:rsidR="004354D6" w:rsidRPr="006B65BD" w14:paraId="2927C5CD" w14:textId="77777777" w:rsidTr="00DE25B5">
        <w:tc>
          <w:tcPr>
            <w:tcW w:w="4191" w:type="pct"/>
          </w:tcPr>
          <w:p w14:paraId="05FEA6A8"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Housing Services Program – OUTCOME #1    </w:t>
            </w:r>
          </w:p>
        </w:tc>
        <w:tc>
          <w:tcPr>
            <w:tcW w:w="809" w:type="pct"/>
          </w:tcPr>
          <w:p w14:paraId="154C3F5E"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3ED9DEEE" w14:textId="77777777" w:rsidTr="00DE25B5">
        <w:trPr>
          <w:cantSplit/>
          <w:trHeight w:val="473"/>
        </w:trPr>
        <w:tc>
          <w:tcPr>
            <w:tcW w:w="4191" w:type="pct"/>
            <w:shd w:val="clear" w:color="auto" w:fill="D9D9D9"/>
          </w:tcPr>
          <w:p w14:paraId="75DC1C57" w14:textId="7365FA4A"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clients, regardless of age, with a diagnosis of HIV who had at least one medical visit in each 6-month period of the 12-month measurement period with a minimum of</w:t>
            </w:r>
            <w:r w:rsidR="00394672">
              <w:rPr>
                <w:rFonts w:asciiTheme="minorHAnsi" w:eastAsia="Times New Roman" w:hAnsiTheme="minorHAnsi" w:cstheme="minorHAnsi"/>
                <w:color w:val="000000"/>
                <w:sz w:val="20"/>
                <w:szCs w:val="20"/>
              </w:rPr>
              <w:t xml:space="preserve"> 60 days between medical visits</w:t>
            </w:r>
          </w:p>
        </w:tc>
        <w:tc>
          <w:tcPr>
            <w:tcW w:w="809" w:type="pct"/>
            <w:shd w:val="clear" w:color="auto" w:fill="D9D9D9"/>
          </w:tcPr>
          <w:p w14:paraId="183831C4"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73AA8410" w14:textId="77777777" w:rsidTr="00DE25B5">
        <w:trPr>
          <w:cantSplit/>
        </w:trPr>
        <w:tc>
          <w:tcPr>
            <w:tcW w:w="4191" w:type="pct"/>
          </w:tcPr>
          <w:p w14:paraId="474A292D" w14:textId="73EAC5EB"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xml:space="preserve"> Number of clients in the denominator who had at least one medical visit in each 6-month period of the 12-month measurement period with a minimum of 60 days between first medical visit in the prior 6-month period and the last medical visit in </w:t>
            </w:r>
            <w:r w:rsidR="00394672">
              <w:rPr>
                <w:rFonts w:asciiTheme="minorHAnsi" w:eastAsia="Times New Roman" w:hAnsiTheme="minorHAnsi" w:cstheme="minorHAnsi"/>
                <w:color w:val="000000"/>
                <w:sz w:val="20"/>
                <w:szCs w:val="20"/>
              </w:rPr>
              <w:t>the subsequent 6-month period</w:t>
            </w:r>
          </w:p>
        </w:tc>
        <w:tc>
          <w:tcPr>
            <w:tcW w:w="809" w:type="pct"/>
          </w:tcPr>
          <w:p w14:paraId="031A7F97"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2A9D67F9"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42AD53D4" w14:textId="77777777" w:rsidTr="00DE25B5">
        <w:trPr>
          <w:cantSplit/>
        </w:trPr>
        <w:tc>
          <w:tcPr>
            <w:tcW w:w="4191" w:type="pct"/>
          </w:tcPr>
          <w:p w14:paraId="6F994B07"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u w:val="single"/>
              </w:rPr>
            </w:pP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xml:space="preserve"> Number of clients, regardless of age, with a diagnosis of HIV with at least one medical visit in the first 6 months of the 12-month measurement period</w:t>
            </w:r>
          </w:p>
        </w:tc>
        <w:tc>
          <w:tcPr>
            <w:tcW w:w="809" w:type="pct"/>
          </w:tcPr>
          <w:p w14:paraId="66E03710"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79301CFD" w14:textId="77777777" w:rsidTr="00DE25B5">
        <w:trPr>
          <w:cantSplit/>
        </w:trPr>
        <w:tc>
          <w:tcPr>
            <w:tcW w:w="4191" w:type="pct"/>
          </w:tcPr>
          <w:p w14:paraId="0E75BEE4" w14:textId="04C1EC33"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Clients who died at any time during </w:t>
            </w:r>
            <w:r w:rsidR="00394672">
              <w:rPr>
                <w:rFonts w:asciiTheme="minorHAnsi" w:eastAsia="Times New Roman" w:hAnsiTheme="minorHAnsi" w:cstheme="minorHAnsi"/>
                <w:color w:val="000000"/>
                <w:sz w:val="20"/>
                <w:szCs w:val="20"/>
              </w:rPr>
              <w:t>the 12-month measurement period</w:t>
            </w:r>
          </w:p>
        </w:tc>
        <w:tc>
          <w:tcPr>
            <w:tcW w:w="809" w:type="pct"/>
          </w:tcPr>
          <w:p w14:paraId="5628E042"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rPr>
            </w:pPr>
          </w:p>
        </w:tc>
      </w:tr>
      <w:tr w:rsidR="004354D6" w:rsidRPr="006B65BD" w14:paraId="06678654" w14:textId="77777777" w:rsidTr="00DE25B5">
        <w:trPr>
          <w:cantSplit/>
        </w:trPr>
        <w:tc>
          <w:tcPr>
            <w:tcW w:w="4191" w:type="pct"/>
          </w:tcPr>
          <w:p w14:paraId="45D50E05"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809" w:type="pct"/>
          </w:tcPr>
          <w:p w14:paraId="1987B640"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70%</w:t>
            </w:r>
          </w:p>
        </w:tc>
      </w:tr>
    </w:tbl>
    <w:p w14:paraId="4C98E628" w14:textId="77777777" w:rsidR="004354D6" w:rsidRPr="006B65BD" w:rsidRDefault="004354D6" w:rsidP="004354D6">
      <w:pPr>
        <w:pStyle w:val="ListParagraph"/>
        <w:spacing w:after="0" w:line="240" w:lineRule="auto"/>
        <w:rPr>
          <w:rFonts w:asciiTheme="minorHAnsi" w:eastAsia="Times New Roman" w:hAnsiTheme="minorHAnsi" w:cstheme="minorHAnsi"/>
          <w:sz w:val="24"/>
          <w:szCs w:val="24"/>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07"/>
        <w:gridCol w:w="1507"/>
      </w:tblGrid>
      <w:tr w:rsidR="004354D6" w:rsidRPr="006B65BD" w14:paraId="144FF34E" w14:textId="77777777" w:rsidTr="00DE25B5">
        <w:tc>
          <w:tcPr>
            <w:tcW w:w="4191" w:type="pct"/>
          </w:tcPr>
          <w:p w14:paraId="20C27BBA"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Housing Services Program – OUTCOME #2</w:t>
            </w:r>
          </w:p>
        </w:tc>
        <w:tc>
          <w:tcPr>
            <w:tcW w:w="809" w:type="pct"/>
          </w:tcPr>
          <w:p w14:paraId="60115753"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41ECFB4A" w14:textId="77777777" w:rsidTr="00DE25B5">
        <w:trPr>
          <w:cantSplit/>
          <w:trHeight w:val="473"/>
        </w:trPr>
        <w:tc>
          <w:tcPr>
            <w:tcW w:w="4191" w:type="pct"/>
            <w:shd w:val="clear" w:color="auto" w:fill="D9D9D9"/>
          </w:tcPr>
          <w:p w14:paraId="5A35BD3E" w14:textId="7D2BCA52" w:rsidR="004354D6" w:rsidRPr="006B65BD" w:rsidRDefault="004354D6" w:rsidP="00C94573">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clients who increase symptom managemen</w:t>
            </w:r>
            <w:r w:rsidR="00394672">
              <w:rPr>
                <w:rFonts w:asciiTheme="minorHAnsi" w:eastAsia="Times New Roman" w:hAnsiTheme="minorHAnsi" w:cstheme="minorHAnsi"/>
                <w:color w:val="000000"/>
                <w:sz w:val="20"/>
                <w:szCs w:val="20"/>
              </w:rPr>
              <w:t>t during the measurement period</w:t>
            </w:r>
          </w:p>
        </w:tc>
        <w:tc>
          <w:tcPr>
            <w:tcW w:w="809" w:type="pct"/>
            <w:shd w:val="clear" w:color="auto" w:fill="D9D9D9"/>
          </w:tcPr>
          <w:p w14:paraId="5AA9DF6B"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59DA5C8E" w14:textId="77777777" w:rsidTr="00DE25B5">
        <w:trPr>
          <w:cantSplit/>
        </w:trPr>
        <w:tc>
          <w:tcPr>
            <w:tcW w:w="4191" w:type="pct"/>
          </w:tcPr>
          <w:p w14:paraId="3B71238B" w14:textId="78232433" w:rsidR="004354D6" w:rsidRPr="006B65BD" w:rsidRDefault="004354D6" w:rsidP="00C524A0">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Numerator:</w:t>
            </w:r>
            <w:r w:rsidR="00B043AD">
              <w:rPr>
                <w:rFonts w:asciiTheme="minorHAnsi" w:eastAsia="Times New Roman" w:hAnsiTheme="minorHAnsi" w:cstheme="minorHAnsi"/>
                <w:b/>
                <w:color w:val="000000"/>
                <w:sz w:val="20"/>
                <w:szCs w:val="20"/>
              </w:rPr>
              <w:t xml:space="preserve"> </w:t>
            </w:r>
            <w:r w:rsidR="00B043AD" w:rsidRPr="00B043AD">
              <w:rPr>
                <w:rFonts w:asciiTheme="minorHAnsi" w:eastAsia="Times New Roman" w:hAnsiTheme="minorHAnsi" w:cstheme="minorHAnsi"/>
                <w:color w:val="000000"/>
                <w:sz w:val="20"/>
                <w:szCs w:val="20"/>
              </w:rPr>
              <w:t>Number of housing services clients</w:t>
            </w:r>
            <w:r w:rsidR="00C94573">
              <w:rPr>
                <w:rFonts w:asciiTheme="minorHAnsi" w:eastAsia="Times New Roman" w:hAnsiTheme="minorHAnsi" w:cstheme="minorHAnsi"/>
                <w:color w:val="000000"/>
                <w:sz w:val="20"/>
                <w:szCs w:val="20"/>
              </w:rPr>
              <w:t xml:space="preserve"> in the denominator who demonstrate</w:t>
            </w:r>
            <w:r w:rsidR="00B043AD" w:rsidRPr="00B043AD">
              <w:rPr>
                <w:rFonts w:asciiTheme="minorHAnsi" w:eastAsia="Times New Roman" w:hAnsiTheme="minorHAnsi" w:cstheme="minorHAnsi"/>
                <w:color w:val="000000"/>
                <w:sz w:val="20"/>
                <w:szCs w:val="20"/>
              </w:rPr>
              <w:t xml:space="preserve"> increased symp</w:t>
            </w:r>
            <w:r w:rsidR="00C94573">
              <w:rPr>
                <w:rFonts w:asciiTheme="minorHAnsi" w:eastAsia="Times New Roman" w:hAnsiTheme="minorHAnsi" w:cstheme="minorHAnsi"/>
                <w:color w:val="000000"/>
                <w:sz w:val="20"/>
                <w:szCs w:val="20"/>
              </w:rPr>
              <w:t>tom management</w:t>
            </w:r>
          </w:p>
        </w:tc>
        <w:tc>
          <w:tcPr>
            <w:tcW w:w="809" w:type="pct"/>
          </w:tcPr>
          <w:p w14:paraId="7E6D6748"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4620228D"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4FE4B930" w14:textId="77777777" w:rsidTr="00DE25B5">
        <w:trPr>
          <w:cantSplit/>
        </w:trPr>
        <w:tc>
          <w:tcPr>
            <w:tcW w:w="4191" w:type="pct"/>
          </w:tcPr>
          <w:p w14:paraId="291D8B8E" w14:textId="121766FD" w:rsidR="004354D6" w:rsidRPr="006B65BD" w:rsidRDefault="004354D6" w:rsidP="00C524A0">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Denominator:</w:t>
            </w:r>
            <w:r w:rsidR="00B043AD">
              <w:rPr>
                <w:rFonts w:asciiTheme="minorHAnsi" w:eastAsia="Times New Roman" w:hAnsiTheme="minorHAnsi" w:cstheme="minorHAnsi"/>
                <w:b/>
                <w:color w:val="000000"/>
                <w:sz w:val="20"/>
                <w:szCs w:val="20"/>
              </w:rPr>
              <w:t xml:space="preserve">  </w:t>
            </w:r>
            <w:r w:rsidR="00B043AD" w:rsidRPr="00B043AD">
              <w:rPr>
                <w:rFonts w:asciiTheme="minorHAnsi" w:eastAsia="Times New Roman" w:hAnsiTheme="minorHAnsi" w:cstheme="minorHAnsi"/>
                <w:color w:val="000000"/>
                <w:sz w:val="20"/>
                <w:szCs w:val="20"/>
              </w:rPr>
              <w:t>Number of housing services clients, regardless of age, with a diagnosis of HIV</w:t>
            </w:r>
          </w:p>
        </w:tc>
        <w:tc>
          <w:tcPr>
            <w:tcW w:w="809" w:type="pct"/>
          </w:tcPr>
          <w:p w14:paraId="6D7F8380"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5CAD6641" w14:textId="77777777" w:rsidTr="00DE25B5">
        <w:trPr>
          <w:cantSplit/>
        </w:trPr>
        <w:tc>
          <w:tcPr>
            <w:tcW w:w="4191" w:type="pct"/>
          </w:tcPr>
          <w:p w14:paraId="14A151AA"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809" w:type="pct"/>
          </w:tcPr>
          <w:p w14:paraId="0BC69777"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80%</w:t>
            </w:r>
          </w:p>
        </w:tc>
      </w:tr>
    </w:tbl>
    <w:p w14:paraId="35C73D08" w14:textId="68CD5A28" w:rsidR="004354D6" w:rsidRPr="006B65BD" w:rsidRDefault="00FB7F5B" w:rsidP="004354D6">
      <w:pPr>
        <w:pStyle w:val="ListParagraph"/>
        <w:spacing w:after="0" w:line="240" w:lineRule="auto"/>
        <w:ind w:left="0"/>
        <w:rPr>
          <w:rFonts w:asciiTheme="minorHAnsi" w:eastAsia="Times New Roman" w:hAnsiTheme="minorHAnsi" w:cstheme="minorHAnsi"/>
          <w:sz w:val="24"/>
          <w:szCs w:val="24"/>
        </w:rPr>
      </w:pPr>
      <w:r w:rsidRPr="006B65BD">
        <w:rPr>
          <w:rFonts w:asciiTheme="minorHAnsi" w:eastAsia="Times New Roman" w:hAnsiTheme="minorHAnsi" w:cstheme="minorHAnsi"/>
          <w:b/>
          <w:sz w:val="32"/>
          <w:szCs w:val="32"/>
        </w:rPr>
        <w:br w:type="page"/>
      </w:r>
      <w:r w:rsidR="004354D6" w:rsidRPr="006B65BD">
        <w:rPr>
          <w:rFonts w:asciiTheme="minorHAnsi" w:eastAsia="Times New Roman" w:hAnsiTheme="minorHAnsi" w:cstheme="minorHAnsi"/>
          <w:b/>
          <w:sz w:val="32"/>
          <w:szCs w:val="32"/>
        </w:rPr>
        <w:lastRenderedPageBreak/>
        <w:t>Medical Case Management (MCM)</w:t>
      </w:r>
    </w:p>
    <w:p w14:paraId="377D3A04" w14:textId="3F165107" w:rsidR="004354D6" w:rsidRPr="006B65BD" w:rsidRDefault="004354D6" w:rsidP="00646198">
      <w:pPr>
        <w:pStyle w:val="ListParagraph"/>
        <w:numPr>
          <w:ilvl w:val="0"/>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MCM Services have as their objective improving health care outcomes.  Key activities include:</w:t>
      </w:r>
    </w:p>
    <w:p w14:paraId="5A278AB0"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Initial assessment of service needs</w:t>
      </w:r>
    </w:p>
    <w:p w14:paraId="3A00569B"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Development of a comprehensive, individualized plan</w:t>
      </w:r>
    </w:p>
    <w:p w14:paraId="3A075BE4"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Timely and coordinated access to medically appropriate levels of health and support services and continuity of care</w:t>
      </w:r>
    </w:p>
    <w:p w14:paraId="475CFCAA"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Continuous client monitoring to assess the efficacy of the care plan</w:t>
      </w:r>
    </w:p>
    <w:p w14:paraId="5555E07F"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Re-evaluation of the care plan at least every 6 months with adaptations as necessary</w:t>
      </w:r>
    </w:p>
    <w:p w14:paraId="5A9240B3"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Ongoing assessment of the client’s and other key family members’ needs and personal support systems</w:t>
      </w:r>
    </w:p>
    <w:p w14:paraId="37C907B1"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Treatment adherence counseling to ensure readiness for and adherence to complex HIV treatments</w:t>
      </w:r>
    </w:p>
    <w:p w14:paraId="3638E406" w14:textId="77777777" w:rsidR="004354D6" w:rsidRPr="006B65BD" w:rsidRDefault="004354D6" w:rsidP="00646198">
      <w:pPr>
        <w:pStyle w:val="ListParagraph"/>
        <w:numPr>
          <w:ilvl w:val="1"/>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Client-specific advocacy and/or review of utilization of services</w:t>
      </w:r>
    </w:p>
    <w:p w14:paraId="3F908209" w14:textId="77777777" w:rsidR="004354D6" w:rsidRPr="006B65BD" w:rsidRDefault="004354D6" w:rsidP="004354D6">
      <w:pPr>
        <w:pStyle w:val="ListParagraph"/>
        <w:spacing w:after="0" w:line="240" w:lineRule="auto"/>
        <w:ind w:left="360"/>
        <w:rPr>
          <w:rFonts w:asciiTheme="minorHAnsi" w:eastAsia="Times New Roman" w:hAnsiTheme="minorHAnsi" w:cstheme="minorHAnsi"/>
          <w:sz w:val="24"/>
          <w:szCs w:val="24"/>
        </w:rPr>
      </w:pPr>
    </w:p>
    <w:p w14:paraId="25D97487" w14:textId="77777777" w:rsidR="004354D6" w:rsidRPr="006B65BD" w:rsidRDefault="004354D6" w:rsidP="00646198">
      <w:pPr>
        <w:pStyle w:val="ListParagraph"/>
        <w:numPr>
          <w:ilvl w:val="0"/>
          <w:numId w:val="2"/>
        </w:numPr>
        <w:spacing w:after="0" w:line="240" w:lineRule="auto"/>
        <w:rPr>
          <w:rFonts w:asciiTheme="minorHAnsi" w:eastAsia="Times New Roman" w:hAnsiTheme="minorHAnsi" w:cstheme="minorHAnsi"/>
          <w:sz w:val="24"/>
          <w:szCs w:val="24"/>
          <w:u w:val="single"/>
        </w:rPr>
      </w:pPr>
      <w:r w:rsidRPr="006B65BD">
        <w:rPr>
          <w:rFonts w:asciiTheme="minorHAnsi" w:eastAsia="Times New Roman" w:hAnsiTheme="minorHAnsi" w:cstheme="minorHAnsi"/>
          <w:sz w:val="24"/>
          <w:szCs w:val="24"/>
          <w:u w:val="single"/>
        </w:rPr>
        <w:t>Unit of Service Definition: Per 15 minutes</w:t>
      </w:r>
    </w:p>
    <w:p w14:paraId="2258300B" w14:textId="77777777" w:rsidR="004354D6" w:rsidRPr="006B65BD" w:rsidRDefault="004354D6" w:rsidP="004354D6">
      <w:pPr>
        <w:pStyle w:val="ListParagraph"/>
        <w:spacing w:after="0" w:line="240" w:lineRule="auto"/>
        <w:ind w:left="360"/>
        <w:rPr>
          <w:rFonts w:asciiTheme="minorHAnsi" w:eastAsia="Times New Roman" w:hAnsiTheme="minorHAnsi" w:cstheme="minorHAnsi"/>
          <w:b/>
          <w:sz w:val="24"/>
          <w:szCs w:val="24"/>
          <w:u w:val="single"/>
        </w:rPr>
      </w:pPr>
    </w:p>
    <w:p w14:paraId="2C37D709" w14:textId="77777777" w:rsidR="004354D6" w:rsidRPr="006B65BD" w:rsidRDefault="004354D6" w:rsidP="007E1F74">
      <w:pPr>
        <w:pStyle w:val="ListParagraph"/>
        <w:spacing w:after="0" w:line="240" w:lineRule="auto"/>
        <w:ind w:left="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REQUIRED OUTCOME MEASURES FOR MEDICAL CASE MANAGEMENT:</w:t>
      </w:r>
    </w:p>
    <w:p w14:paraId="75414138"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97"/>
        <w:gridCol w:w="1417"/>
      </w:tblGrid>
      <w:tr w:rsidR="004354D6" w:rsidRPr="006B65BD" w14:paraId="1F4D7F04" w14:textId="77777777" w:rsidTr="00DE25B5">
        <w:tc>
          <w:tcPr>
            <w:tcW w:w="7897" w:type="dxa"/>
          </w:tcPr>
          <w:p w14:paraId="636FF016"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Medical Case Management – OUTCOME #1</w:t>
            </w:r>
          </w:p>
        </w:tc>
        <w:tc>
          <w:tcPr>
            <w:tcW w:w="1417" w:type="dxa"/>
          </w:tcPr>
          <w:p w14:paraId="585A67D0"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6E86FD26" w14:textId="77777777" w:rsidTr="00DE25B5">
        <w:trPr>
          <w:cantSplit/>
          <w:trHeight w:val="473"/>
        </w:trPr>
        <w:tc>
          <w:tcPr>
            <w:tcW w:w="7897" w:type="dxa"/>
            <w:shd w:val="clear" w:color="auto" w:fill="D9D9D9"/>
          </w:tcPr>
          <w:p w14:paraId="7B0E77DE" w14:textId="2201A2C3" w:rsidR="004354D6" w:rsidRPr="006B65BD" w:rsidRDefault="004354D6" w:rsidP="00803017">
            <w:pPr>
              <w:widowControl w:val="0"/>
              <w:tabs>
                <w:tab w:val="left" w:pos="3382"/>
              </w:tabs>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medical case management clients, regardless of age, with a diagnosis of HIV who had a medical case management care plan developed and/or updated two or mor</w:t>
            </w:r>
            <w:r w:rsidR="00394672">
              <w:rPr>
                <w:rFonts w:asciiTheme="minorHAnsi" w:eastAsia="Times New Roman" w:hAnsiTheme="minorHAnsi" w:cstheme="minorHAnsi"/>
                <w:color w:val="000000"/>
                <w:sz w:val="20"/>
                <w:szCs w:val="20"/>
              </w:rPr>
              <w:t>e times in the measurement year</w:t>
            </w:r>
          </w:p>
        </w:tc>
        <w:tc>
          <w:tcPr>
            <w:tcW w:w="1417" w:type="dxa"/>
            <w:shd w:val="clear" w:color="auto" w:fill="D9D9D9"/>
          </w:tcPr>
          <w:p w14:paraId="7519816C"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21FDA0F5" w14:textId="77777777" w:rsidTr="00DE25B5">
        <w:trPr>
          <w:cantSplit/>
          <w:trHeight w:val="687"/>
        </w:trPr>
        <w:tc>
          <w:tcPr>
            <w:tcW w:w="7897" w:type="dxa"/>
          </w:tcPr>
          <w:p w14:paraId="4BAA90D1" w14:textId="0F6DEC2B" w:rsidR="004354D6" w:rsidRPr="006B65BD" w:rsidRDefault="004354D6" w:rsidP="00803017">
            <w:pPr>
              <w:numPr>
                <w:ilvl w:val="12"/>
                <w:numId w:val="0"/>
              </w:numPr>
              <w:tabs>
                <w:tab w:val="left" w:pos="360"/>
              </w:tabs>
              <w:rPr>
                <w:rFonts w:asciiTheme="minorHAnsi" w:eastAsia="Times New Roman" w:hAnsiTheme="minorHAnsi" w:cstheme="minorHAnsi"/>
                <w:color w:val="000000"/>
                <w:sz w:val="20"/>
                <w:szCs w:val="20"/>
              </w:rPr>
            </w:pPr>
            <w:r w:rsidRPr="006B65BD">
              <w:rPr>
                <w:rFonts w:asciiTheme="minorHAnsi" w:eastAsia="Times New Roman" w:hAnsiTheme="minorHAnsi" w:cstheme="minorHAnsi"/>
                <w:color w:val="000000"/>
                <w:sz w:val="20"/>
                <w:szCs w:val="20"/>
              </w:rPr>
              <w:lastRenderedPageBreak/>
              <w:t xml:space="preserve"> </w:t>
            </w: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xml:space="preserve"> Number of medical case management clients who had a medical case management care plan developed and/or updated two or more times which are at least three months apart in the measurement ye</w:t>
            </w:r>
            <w:r w:rsidR="00394672">
              <w:rPr>
                <w:rFonts w:asciiTheme="minorHAnsi" w:eastAsia="Times New Roman" w:hAnsiTheme="minorHAnsi" w:cstheme="minorHAnsi"/>
                <w:color w:val="000000"/>
                <w:sz w:val="20"/>
                <w:szCs w:val="20"/>
              </w:rPr>
              <w:t>ar</w:t>
            </w:r>
          </w:p>
        </w:tc>
        <w:tc>
          <w:tcPr>
            <w:tcW w:w="1417" w:type="dxa"/>
          </w:tcPr>
          <w:p w14:paraId="69827F0F"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4E515A2F"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32D7F958" w14:textId="77777777" w:rsidTr="00DE25B5">
        <w:trPr>
          <w:cantSplit/>
          <w:trHeight w:val="849"/>
        </w:trPr>
        <w:tc>
          <w:tcPr>
            <w:tcW w:w="7897" w:type="dxa"/>
          </w:tcPr>
          <w:p w14:paraId="1A148F5A" w14:textId="0FEC51E1" w:rsidR="004354D6" w:rsidRPr="006B65BD" w:rsidRDefault="004354D6" w:rsidP="00803017">
            <w:pPr>
              <w:numPr>
                <w:ilvl w:val="12"/>
                <w:numId w:val="0"/>
              </w:numPr>
              <w:tabs>
                <w:tab w:val="left" w:pos="360"/>
              </w:tabs>
              <w:rPr>
                <w:rFonts w:asciiTheme="minorHAnsi" w:eastAsia="Times New Roman" w:hAnsiTheme="minorHAnsi" w:cstheme="minorHAnsi"/>
                <w:color w:val="000000"/>
                <w:sz w:val="20"/>
                <w:szCs w:val="20"/>
                <w:u w:val="single"/>
              </w:rPr>
            </w:pPr>
            <w:r w:rsidRPr="006B65BD">
              <w:rPr>
                <w:rFonts w:asciiTheme="minorHAnsi" w:eastAsia="Times New Roman" w:hAnsiTheme="minorHAnsi" w:cstheme="minorHAnsi"/>
                <w:color w:val="000000"/>
                <w:sz w:val="20"/>
                <w:szCs w:val="20"/>
              </w:rPr>
              <w:t xml:space="preserve"> </w:t>
            </w: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xml:space="preserve"> Number of medical case management clients, regardless of age, with a diagnosis of HIV who had at least one medical case management en</w:t>
            </w:r>
            <w:r w:rsidR="00394672">
              <w:rPr>
                <w:rFonts w:asciiTheme="minorHAnsi" w:eastAsia="Times New Roman" w:hAnsiTheme="minorHAnsi" w:cstheme="minorHAnsi"/>
                <w:color w:val="000000"/>
                <w:sz w:val="20"/>
                <w:szCs w:val="20"/>
              </w:rPr>
              <w:t>counter in the measurement year</w:t>
            </w:r>
          </w:p>
        </w:tc>
        <w:tc>
          <w:tcPr>
            <w:tcW w:w="1417" w:type="dxa"/>
          </w:tcPr>
          <w:p w14:paraId="21CC39F4"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54A379CB" w14:textId="77777777" w:rsidTr="00DE25B5">
        <w:trPr>
          <w:cantSplit/>
        </w:trPr>
        <w:tc>
          <w:tcPr>
            <w:tcW w:w="7897" w:type="dxa"/>
          </w:tcPr>
          <w:p w14:paraId="2285652F" w14:textId="6D113630" w:rsidR="004354D6" w:rsidRPr="006B65BD" w:rsidRDefault="004354D6" w:rsidP="00803017">
            <w:pPr>
              <w:pStyle w:val="NoSpacing"/>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Medical case management clients who initiated medical case management services in the last six months of the measurement year and medical case management clients who were discharged from medical case management services prior to six months of </w:t>
            </w:r>
            <w:r w:rsidR="00394672">
              <w:rPr>
                <w:rFonts w:asciiTheme="minorHAnsi" w:eastAsia="Times New Roman" w:hAnsiTheme="minorHAnsi" w:cstheme="minorHAnsi"/>
                <w:color w:val="000000"/>
                <w:sz w:val="20"/>
                <w:szCs w:val="20"/>
              </w:rPr>
              <w:t>service in the measurement year</w:t>
            </w:r>
          </w:p>
        </w:tc>
        <w:tc>
          <w:tcPr>
            <w:tcW w:w="1417" w:type="dxa"/>
          </w:tcPr>
          <w:p w14:paraId="72878919"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rPr>
            </w:pPr>
          </w:p>
        </w:tc>
      </w:tr>
      <w:tr w:rsidR="004354D6" w:rsidRPr="006B65BD" w14:paraId="516D6687" w14:textId="77777777" w:rsidTr="00DE25B5">
        <w:trPr>
          <w:cantSplit/>
        </w:trPr>
        <w:tc>
          <w:tcPr>
            <w:tcW w:w="7897" w:type="dxa"/>
          </w:tcPr>
          <w:p w14:paraId="1E844860"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1417" w:type="dxa"/>
          </w:tcPr>
          <w:p w14:paraId="53D9465E"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80%</w:t>
            </w:r>
          </w:p>
        </w:tc>
      </w:tr>
    </w:tbl>
    <w:p w14:paraId="3F05CEC3" w14:textId="4A148B58" w:rsidR="00803017" w:rsidRDefault="00803017" w:rsidP="004354D6">
      <w:pPr>
        <w:pStyle w:val="ListParagraph"/>
        <w:spacing w:after="0" w:line="240" w:lineRule="auto"/>
        <w:ind w:left="0"/>
        <w:rPr>
          <w:rFonts w:asciiTheme="minorHAnsi" w:eastAsia="Times New Roman" w:hAnsiTheme="minorHAnsi" w:cstheme="minorHAnsi"/>
          <w:sz w:val="24"/>
          <w:szCs w:val="24"/>
        </w:rPr>
      </w:pPr>
    </w:p>
    <w:p w14:paraId="1132958C" w14:textId="0209673D"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3DCA2E2E" w14:textId="1D700CA3"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6EA18036" w14:textId="659B0DBA"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086A9721" w14:textId="3E09C5A2"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17EF9FA3" w14:textId="77777777" w:rsidR="00DE25B5" w:rsidRPr="006B65BD" w:rsidRDefault="00DE25B5" w:rsidP="004354D6">
      <w:pPr>
        <w:pStyle w:val="ListParagraph"/>
        <w:spacing w:after="0" w:line="240" w:lineRule="auto"/>
        <w:ind w:left="0"/>
        <w:rPr>
          <w:rFonts w:asciiTheme="minorHAnsi" w:eastAsia="Times New Roman" w:hAnsiTheme="minorHAnsi" w:cstheme="minorHAnsi"/>
          <w:sz w:val="24"/>
          <w:szCs w:val="24"/>
        </w:rPr>
      </w:pPr>
    </w:p>
    <w:p w14:paraId="5CD9F065" w14:textId="77777777" w:rsidR="00FB7F5B" w:rsidRPr="006B65BD" w:rsidRDefault="00FB7F5B" w:rsidP="004354D6">
      <w:pPr>
        <w:pStyle w:val="ListParagraph"/>
        <w:spacing w:after="0" w:line="240" w:lineRule="auto"/>
        <w:ind w:left="0"/>
        <w:rPr>
          <w:rFonts w:asciiTheme="minorHAnsi" w:eastAsia="Times New Roman"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97"/>
        <w:gridCol w:w="1417"/>
      </w:tblGrid>
      <w:tr w:rsidR="004354D6" w:rsidRPr="006B65BD" w14:paraId="2754FBE3" w14:textId="77777777" w:rsidTr="00DE25B5">
        <w:tc>
          <w:tcPr>
            <w:tcW w:w="7897" w:type="dxa"/>
          </w:tcPr>
          <w:p w14:paraId="2FE83F90"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Medical Case Management – OUTCOME #2    </w:t>
            </w:r>
          </w:p>
        </w:tc>
        <w:tc>
          <w:tcPr>
            <w:tcW w:w="1417" w:type="dxa"/>
          </w:tcPr>
          <w:p w14:paraId="7BDB4E3A"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482DDB0A" w14:textId="77777777" w:rsidTr="00DE25B5">
        <w:trPr>
          <w:cantSplit/>
          <w:trHeight w:val="473"/>
        </w:trPr>
        <w:tc>
          <w:tcPr>
            <w:tcW w:w="7897" w:type="dxa"/>
            <w:shd w:val="clear" w:color="auto" w:fill="D9D9D9"/>
          </w:tcPr>
          <w:p w14:paraId="024FEDD7" w14:textId="6D7D8CF3"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medical case management clients, regardless of age, with a diagnosis of HIV who had at least one medical visit in each 6-month period of the 12-month measurement period with a minimum of</w:t>
            </w:r>
            <w:r w:rsidR="00394672">
              <w:rPr>
                <w:rFonts w:asciiTheme="minorHAnsi" w:eastAsia="Times New Roman" w:hAnsiTheme="minorHAnsi" w:cstheme="minorHAnsi"/>
                <w:color w:val="000000"/>
                <w:sz w:val="20"/>
                <w:szCs w:val="20"/>
              </w:rPr>
              <w:t xml:space="preserve"> 60 days between medical visits</w:t>
            </w:r>
          </w:p>
        </w:tc>
        <w:tc>
          <w:tcPr>
            <w:tcW w:w="1417" w:type="dxa"/>
            <w:shd w:val="clear" w:color="auto" w:fill="D9D9D9"/>
          </w:tcPr>
          <w:p w14:paraId="4F63F153"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0872A252" w14:textId="77777777" w:rsidTr="00DE25B5">
        <w:trPr>
          <w:cantSplit/>
        </w:trPr>
        <w:tc>
          <w:tcPr>
            <w:tcW w:w="7897" w:type="dxa"/>
          </w:tcPr>
          <w:p w14:paraId="2238EFF8" w14:textId="15ECF855"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Number of medical case management clients in the denominator who had at least one medical visit in each 6-month period of the 12-month measurement period with a minimum of 60 days between first medical visit in the prior 6-month period and the last medical visit i</w:t>
            </w:r>
            <w:r w:rsidR="00394672">
              <w:rPr>
                <w:rFonts w:asciiTheme="minorHAnsi" w:eastAsia="Times New Roman" w:hAnsiTheme="minorHAnsi" w:cstheme="minorHAnsi"/>
                <w:color w:val="000000"/>
                <w:sz w:val="20"/>
                <w:szCs w:val="20"/>
              </w:rPr>
              <w:t>n the subsequent 6-month period</w:t>
            </w:r>
          </w:p>
        </w:tc>
        <w:tc>
          <w:tcPr>
            <w:tcW w:w="1417" w:type="dxa"/>
          </w:tcPr>
          <w:p w14:paraId="7D5AAEB1"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p w14:paraId="1AECC5F2"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0A886BB7" w14:textId="77777777" w:rsidTr="00DE25B5">
        <w:trPr>
          <w:cantSplit/>
        </w:trPr>
        <w:tc>
          <w:tcPr>
            <w:tcW w:w="7897" w:type="dxa"/>
          </w:tcPr>
          <w:p w14:paraId="30C9C941" w14:textId="77777777" w:rsidR="004354D6" w:rsidRPr="006B65BD" w:rsidRDefault="004354D6" w:rsidP="00803017">
            <w:pPr>
              <w:numPr>
                <w:ilvl w:val="12"/>
                <w:numId w:val="0"/>
              </w:numPr>
              <w:tabs>
                <w:tab w:val="left" w:pos="360"/>
              </w:tabs>
              <w:rPr>
                <w:rFonts w:asciiTheme="minorHAnsi" w:hAnsiTheme="minorHAnsi" w:cstheme="minorHAnsi"/>
                <w:sz w:val="20"/>
                <w:szCs w:val="20"/>
              </w:rPr>
            </w:pP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Number of medical case management clients, regardless of age, with a diagnosis of HIV with at least one medical visit in the first 6 months of the 12-month measurement period.</w:t>
            </w:r>
          </w:p>
        </w:tc>
        <w:tc>
          <w:tcPr>
            <w:tcW w:w="1417" w:type="dxa"/>
          </w:tcPr>
          <w:p w14:paraId="483A958F"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73D34F73" w14:textId="77777777" w:rsidTr="00DE25B5">
        <w:trPr>
          <w:cantSplit/>
        </w:trPr>
        <w:tc>
          <w:tcPr>
            <w:tcW w:w="7897" w:type="dxa"/>
          </w:tcPr>
          <w:p w14:paraId="2E98FA03" w14:textId="2FB63D4D"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Clients who died at any time during </w:t>
            </w:r>
            <w:r w:rsidR="00394672">
              <w:rPr>
                <w:rFonts w:asciiTheme="minorHAnsi" w:eastAsia="Times New Roman" w:hAnsiTheme="minorHAnsi" w:cstheme="minorHAnsi"/>
                <w:color w:val="000000"/>
                <w:sz w:val="20"/>
                <w:szCs w:val="20"/>
              </w:rPr>
              <w:t>the 12-month measurement period</w:t>
            </w:r>
          </w:p>
        </w:tc>
        <w:tc>
          <w:tcPr>
            <w:tcW w:w="1417" w:type="dxa"/>
          </w:tcPr>
          <w:p w14:paraId="3DBC1736"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p>
        </w:tc>
      </w:tr>
      <w:tr w:rsidR="004354D6" w:rsidRPr="006B65BD" w14:paraId="316A69BD" w14:textId="77777777" w:rsidTr="00DE25B5">
        <w:trPr>
          <w:cantSplit/>
        </w:trPr>
        <w:tc>
          <w:tcPr>
            <w:tcW w:w="7897" w:type="dxa"/>
          </w:tcPr>
          <w:p w14:paraId="0C9BF102"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1417" w:type="dxa"/>
          </w:tcPr>
          <w:p w14:paraId="55798183"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85%</w:t>
            </w:r>
          </w:p>
        </w:tc>
      </w:tr>
    </w:tbl>
    <w:p w14:paraId="5A6747C2"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p w14:paraId="4738BDFC" w14:textId="77777777" w:rsidR="004354D6" w:rsidRPr="006B65BD" w:rsidRDefault="004354D6" w:rsidP="004354D6">
      <w:pPr>
        <w:pStyle w:val="ListParagraph"/>
        <w:spacing w:after="0" w:line="240" w:lineRule="auto"/>
        <w:ind w:left="0"/>
        <w:rPr>
          <w:rFonts w:asciiTheme="minorHAnsi" w:eastAsia="Times New Roman" w:hAnsiTheme="minorHAnsi" w:cstheme="minorHAnsi"/>
          <w:b/>
          <w:sz w:val="32"/>
          <w:szCs w:val="32"/>
        </w:rPr>
      </w:pPr>
    </w:p>
    <w:p w14:paraId="66DD4496" w14:textId="77777777" w:rsidR="004354D6" w:rsidRPr="006B65BD" w:rsidRDefault="00FB7F5B" w:rsidP="004354D6">
      <w:pPr>
        <w:pStyle w:val="ListParagraph"/>
        <w:spacing w:after="0" w:line="240" w:lineRule="auto"/>
        <w:ind w:left="0"/>
        <w:rPr>
          <w:rFonts w:asciiTheme="minorHAnsi" w:eastAsia="Times New Roman" w:hAnsiTheme="minorHAnsi" w:cstheme="minorHAnsi"/>
          <w:sz w:val="24"/>
          <w:szCs w:val="24"/>
        </w:rPr>
      </w:pPr>
      <w:r w:rsidRPr="006B65BD">
        <w:rPr>
          <w:rFonts w:asciiTheme="minorHAnsi" w:eastAsia="Times New Roman" w:hAnsiTheme="minorHAnsi" w:cstheme="minorHAnsi"/>
          <w:b/>
          <w:sz w:val="32"/>
          <w:szCs w:val="32"/>
        </w:rPr>
        <w:br w:type="page"/>
      </w:r>
      <w:r w:rsidR="004354D6" w:rsidRPr="006B65BD">
        <w:rPr>
          <w:rFonts w:asciiTheme="minorHAnsi" w:eastAsia="Times New Roman" w:hAnsiTheme="minorHAnsi" w:cstheme="minorHAnsi"/>
          <w:b/>
          <w:sz w:val="32"/>
          <w:szCs w:val="32"/>
        </w:rPr>
        <w:lastRenderedPageBreak/>
        <w:t>Mental Health Services</w:t>
      </w:r>
    </w:p>
    <w:p w14:paraId="519D18BD" w14:textId="4866EA15" w:rsidR="004354D6" w:rsidRPr="006B65BD" w:rsidRDefault="004354D6" w:rsidP="00646198">
      <w:pPr>
        <w:pStyle w:val="ListParagraph"/>
        <w:numPr>
          <w:ilvl w:val="0"/>
          <w:numId w:val="2"/>
        </w:numPr>
        <w:spacing w:after="0" w:line="240" w:lineRule="auto"/>
        <w:rPr>
          <w:rFonts w:asciiTheme="minorHAnsi" w:eastAsia="Times New Roman" w:hAnsiTheme="minorHAnsi" w:cstheme="minorHAnsi"/>
          <w:sz w:val="24"/>
          <w:szCs w:val="24"/>
        </w:rPr>
      </w:pPr>
      <w:r w:rsidRPr="006B65BD">
        <w:rPr>
          <w:rFonts w:asciiTheme="minorHAnsi" w:eastAsia="Times New Roman" w:hAnsiTheme="minorHAnsi" w:cstheme="minorHAnsi"/>
          <w:sz w:val="24"/>
          <w:szCs w:val="24"/>
        </w:rPr>
        <w:t xml:space="preserve">Mental Health Services provide outpatient psychological and psychiatric screening, assessment, diagnosis, treatment, and counseling </w:t>
      </w:r>
      <w:r w:rsidR="00DB5F68" w:rsidRPr="006B65BD">
        <w:rPr>
          <w:rFonts w:asciiTheme="minorHAnsi" w:eastAsia="Times New Roman" w:hAnsiTheme="minorHAnsi" w:cstheme="minorHAnsi"/>
          <w:sz w:val="24"/>
          <w:szCs w:val="24"/>
        </w:rPr>
        <w:t>services to</w:t>
      </w:r>
      <w:r w:rsidRPr="006B65BD">
        <w:rPr>
          <w:rFonts w:asciiTheme="minorHAnsi" w:eastAsia="Times New Roman" w:hAnsiTheme="minorHAnsi" w:cstheme="minorHAnsi"/>
          <w:sz w:val="24"/>
          <w:szCs w:val="24"/>
        </w:rPr>
        <w:t xml:space="preserve"> clients living with HIV.  Services are based on a treatment plan, conducted in an outpatient group or individual session, and provided by a mental health professional licensed or authorized within the state to render such services.  Such professionals typically include psychiatrists, psychologists, and licensed clinical social workers. </w:t>
      </w:r>
    </w:p>
    <w:p w14:paraId="12CAFA3B" w14:textId="77777777" w:rsidR="004354D6" w:rsidRPr="006B65BD" w:rsidRDefault="004354D6" w:rsidP="004354D6">
      <w:pPr>
        <w:pStyle w:val="ListParagraph"/>
        <w:spacing w:after="0" w:line="240" w:lineRule="auto"/>
        <w:ind w:left="360"/>
        <w:rPr>
          <w:rFonts w:asciiTheme="minorHAnsi" w:eastAsia="Times New Roman" w:hAnsiTheme="minorHAnsi" w:cstheme="minorHAnsi"/>
          <w:sz w:val="24"/>
          <w:szCs w:val="24"/>
        </w:rPr>
      </w:pPr>
    </w:p>
    <w:p w14:paraId="0FEE6EAC" w14:textId="77777777" w:rsidR="004354D6" w:rsidRPr="006B65BD" w:rsidRDefault="004354D6" w:rsidP="00646198">
      <w:pPr>
        <w:pStyle w:val="ListParagraph"/>
        <w:numPr>
          <w:ilvl w:val="0"/>
          <w:numId w:val="2"/>
        </w:numPr>
        <w:spacing w:after="0" w:line="240" w:lineRule="auto"/>
        <w:rPr>
          <w:rFonts w:asciiTheme="minorHAnsi" w:eastAsia="Times New Roman" w:hAnsiTheme="minorHAnsi" w:cstheme="minorHAnsi"/>
          <w:sz w:val="24"/>
          <w:szCs w:val="24"/>
          <w:u w:val="single"/>
        </w:rPr>
      </w:pPr>
      <w:r w:rsidRPr="006B65BD">
        <w:rPr>
          <w:rFonts w:asciiTheme="minorHAnsi" w:eastAsia="Times New Roman" w:hAnsiTheme="minorHAnsi" w:cstheme="minorHAnsi"/>
          <w:sz w:val="24"/>
          <w:szCs w:val="24"/>
          <w:u w:val="single"/>
        </w:rPr>
        <w:t>Unit of Service Definition: Per visit</w:t>
      </w:r>
    </w:p>
    <w:p w14:paraId="491869AA" w14:textId="77777777" w:rsidR="004354D6" w:rsidRPr="006B65BD" w:rsidRDefault="004354D6" w:rsidP="004354D6">
      <w:pPr>
        <w:pStyle w:val="ListParagraph"/>
        <w:spacing w:after="0" w:line="240" w:lineRule="auto"/>
        <w:rPr>
          <w:rFonts w:asciiTheme="minorHAnsi" w:eastAsia="Times New Roman" w:hAnsiTheme="minorHAnsi" w:cstheme="minorHAnsi"/>
          <w:sz w:val="24"/>
          <w:szCs w:val="24"/>
          <w:u w:val="single"/>
        </w:rPr>
      </w:pPr>
    </w:p>
    <w:p w14:paraId="489A8CE7" w14:textId="77777777" w:rsidR="004354D6" w:rsidRPr="006B65BD" w:rsidRDefault="004354D6" w:rsidP="007E1F74">
      <w:pPr>
        <w:pStyle w:val="ListParagraph"/>
        <w:spacing w:after="0" w:line="240" w:lineRule="auto"/>
        <w:ind w:left="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t xml:space="preserve">REQUIRED OUTCOME MEASURES FOR </w:t>
      </w:r>
      <w:r w:rsidR="00FB7F5B" w:rsidRPr="006B65BD">
        <w:rPr>
          <w:rFonts w:asciiTheme="minorHAnsi" w:eastAsia="Times New Roman" w:hAnsiTheme="minorHAnsi" w:cstheme="minorHAnsi"/>
          <w:b/>
          <w:sz w:val="24"/>
          <w:szCs w:val="24"/>
          <w:u w:val="single"/>
        </w:rPr>
        <w:t>MENTAL HEALTH SERVICES</w:t>
      </w:r>
      <w:r w:rsidRPr="006B65BD">
        <w:rPr>
          <w:rFonts w:asciiTheme="minorHAnsi" w:eastAsia="Times New Roman" w:hAnsiTheme="minorHAnsi" w:cstheme="minorHAnsi"/>
          <w:b/>
          <w:sz w:val="24"/>
          <w:szCs w:val="24"/>
          <w:u w:val="single"/>
        </w:rPr>
        <w:t>:</w:t>
      </w:r>
    </w:p>
    <w:p w14:paraId="6C1C5434" w14:textId="77777777" w:rsidR="004354D6" w:rsidRPr="006B65BD" w:rsidRDefault="004354D6" w:rsidP="004354D6">
      <w:pPr>
        <w:pStyle w:val="ListParagraph"/>
        <w:spacing w:after="0" w:line="240" w:lineRule="auto"/>
        <w:ind w:left="360"/>
        <w:rPr>
          <w:rFonts w:asciiTheme="minorHAnsi" w:eastAsia="Times New Roman" w:hAnsiTheme="minorHAnsi" w:cstheme="minorHAnsi"/>
          <w:b/>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90"/>
        <w:gridCol w:w="1524"/>
      </w:tblGrid>
      <w:tr w:rsidR="004354D6" w:rsidRPr="006B65BD" w14:paraId="7A2CCA71" w14:textId="77777777" w:rsidTr="00D53E59">
        <w:tc>
          <w:tcPr>
            <w:tcW w:w="0" w:type="auto"/>
          </w:tcPr>
          <w:p w14:paraId="7F4D0589"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Mental Health Services – OUTCOME #1    </w:t>
            </w:r>
          </w:p>
        </w:tc>
        <w:tc>
          <w:tcPr>
            <w:tcW w:w="0" w:type="auto"/>
          </w:tcPr>
          <w:p w14:paraId="48DA4F9B"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32185802" w14:textId="77777777" w:rsidTr="00D53E59">
        <w:trPr>
          <w:cantSplit/>
          <w:trHeight w:val="473"/>
        </w:trPr>
        <w:tc>
          <w:tcPr>
            <w:tcW w:w="0" w:type="auto"/>
            <w:shd w:val="clear" w:color="auto" w:fill="D9D9D9"/>
          </w:tcPr>
          <w:p w14:paraId="235F48CA" w14:textId="000986A9" w:rsidR="004354D6" w:rsidRPr="006B65BD" w:rsidRDefault="004354D6" w:rsidP="00394672">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mental health services clients making progress towards or attaining their prescribed client treatment plan go</w:t>
            </w:r>
            <w:r w:rsidR="00394672">
              <w:rPr>
                <w:rFonts w:asciiTheme="minorHAnsi" w:eastAsia="Times New Roman" w:hAnsiTheme="minorHAnsi" w:cstheme="minorHAnsi"/>
                <w:color w:val="000000"/>
                <w:sz w:val="20"/>
                <w:szCs w:val="20"/>
              </w:rPr>
              <w:t>als during the measurement year</w:t>
            </w:r>
          </w:p>
        </w:tc>
        <w:tc>
          <w:tcPr>
            <w:tcW w:w="0" w:type="auto"/>
            <w:shd w:val="clear" w:color="auto" w:fill="D9D9D9"/>
          </w:tcPr>
          <w:p w14:paraId="19782B0D"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518F7BF4" w14:textId="77777777" w:rsidTr="00D53E59">
        <w:trPr>
          <w:cantSplit/>
        </w:trPr>
        <w:tc>
          <w:tcPr>
            <w:tcW w:w="0" w:type="auto"/>
          </w:tcPr>
          <w:p w14:paraId="6AF506BC" w14:textId="2F3DBACF" w:rsidR="004354D6" w:rsidRPr="006B65BD" w:rsidRDefault="004354D6" w:rsidP="00B043AD">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Numerator:</w:t>
            </w:r>
            <w:r w:rsidR="00B043AD" w:rsidRPr="00B043AD">
              <w:t xml:space="preserve"> </w:t>
            </w:r>
            <w:r w:rsidR="00B043AD" w:rsidRPr="00B043AD">
              <w:rPr>
                <w:rFonts w:asciiTheme="minorHAnsi" w:eastAsia="Times New Roman" w:hAnsiTheme="minorHAnsi" w:cstheme="minorHAnsi"/>
                <w:color w:val="000000"/>
                <w:sz w:val="20"/>
                <w:szCs w:val="20"/>
              </w:rPr>
              <w:t>Number of mental health services clients in the denominator who demonstrate progress towards or attain their prescribed client treatment plan goals during the measurement year</w:t>
            </w:r>
          </w:p>
        </w:tc>
        <w:tc>
          <w:tcPr>
            <w:tcW w:w="0" w:type="auto"/>
          </w:tcPr>
          <w:p w14:paraId="55105B79"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6F92107D"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2CB3F712" w14:textId="77777777" w:rsidTr="00D53E59">
        <w:trPr>
          <w:cantSplit/>
        </w:trPr>
        <w:tc>
          <w:tcPr>
            <w:tcW w:w="0" w:type="auto"/>
          </w:tcPr>
          <w:p w14:paraId="089312E4" w14:textId="67B7E335" w:rsidR="004354D6" w:rsidRPr="006B65BD" w:rsidRDefault="004354D6" w:rsidP="00B043AD">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Denominator:</w:t>
            </w:r>
            <w:r w:rsidR="00B043AD">
              <w:rPr>
                <w:rFonts w:asciiTheme="minorHAnsi" w:eastAsia="Times New Roman" w:hAnsiTheme="minorHAnsi" w:cstheme="minorHAnsi"/>
                <w:b/>
                <w:color w:val="000000"/>
                <w:sz w:val="20"/>
                <w:szCs w:val="20"/>
              </w:rPr>
              <w:t xml:space="preserve"> </w:t>
            </w:r>
            <w:r w:rsidR="00B043AD" w:rsidRPr="00B043AD">
              <w:rPr>
                <w:rFonts w:asciiTheme="minorHAnsi" w:eastAsia="Times New Roman" w:hAnsiTheme="minorHAnsi" w:cstheme="minorHAnsi"/>
                <w:color w:val="000000"/>
                <w:sz w:val="20"/>
                <w:szCs w:val="20"/>
              </w:rPr>
              <w:t>Number of mental health services clients, regardless of age, with a diagnosis of HIV</w:t>
            </w:r>
          </w:p>
        </w:tc>
        <w:tc>
          <w:tcPr>
            <w:tcW w:w="0" w:type="auto"/>
          </w:tcPr>
          <w:p w14:paraId="0D4860BD"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7DB3E01B" w14:textId="77777777" w:rsidTr="00D53E59">
        <w:trPr>
          <w:cantSplit/>
        </w:trPr>
        <w:tc>
          <w:tcPr>
            <w:tcW w:w="0" w:type="auto"/>
          </w:tcPr>
          <w:p w14:paraId="0F1A412A"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0" w:type="auto"/>
          </w:tcPr>
          <w:p w14:paraId="7D4290A4"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70%</w:t>
            </w:r>
          </w:p>
        </w:tc>
      </w:tr>
    </w:tbl>
    <w:p w14:paraId="78A967D0" w14:textId="7F8E01BE" w:rsidR="004354D6" w:rsidRDefault="004354D6" w:rsidP="004354D6">
      <w:pPr>
        <w:pStyle w:val="ListParagraph"/>
        <w:spacing w:after="0" w:line="240" w:lineRule="auto"/>
        <w:ind w:left="0"/>
        <w:rPr>
          <w:rFonts w:asciiTheme="minorHAnsi" w:eastAsia="Times New Roman" w:hAnsiTheme="minorHAnsi" w:cstheme="minorHAnsi"/>
          <w:sz w:val="24"/>
          <w:szCs w:val="24"/>
        </w:rPr>
      </w:pPr>
    </w:p>
    <w:p w14:paraId="05E5C5BF" w14:textId="16E757C7" w:rsidR="00DE25B5" w:rsidRDefault="00DE25B5" w:rsidP="004354D6">
      <w:pPr>
        <w:pStyle w:val="ListParagraph"/>
        <w:spacing w:after="0" w:line="240" w:lineRule="auto"/>
        <w:ind w:left="0"/>
        <w:rPr>
          <w:rFonts w:asciiTheme="minorHAnsi" w:eastAsia="Times New Roman"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07"/>
        <w:gridCol w:w="1507"/>
      </w:tblGrid>
      <w:tr w:rsidR="004354D6" w:rsidRPr="006B65BD" w14:paraId="155E4F94" w14:textId="77777777" w:rsidTr="00DE25B5">
        <w:tc>
          <w:tcPr>
            <w:tcW w:w="7807" w:type="dxa"/>
          </w:tcPr>
          <w:p w14:paraId="2D71484D"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Mental Health Services – OUTCOME #2   </w:t>
            </w:r>
          </w:p>
        </w:tc>
        <w:tc>
          <w:tcPr>
            <w:tcW w:w="1507" w:type="dxa"/>
          </w:tcPr>
          <w:p w14:paraId="6DEF6E10"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4AFE8FE9" w14:textId="77777777" w:rsidTr="00DE25B5">
        <w:trPr>
          <w:cantSplit/>
          <w:trHeight w:val="473"/>
        </w:trPr>
        <w:tc>
          <w:tcPr>
            <w:tcW w:w="7807" w:type="dxa"/>
            <w:shd w:val="clear" w:color="auto" w:fill="D9D9D9"/>
          </w:tcPr>
          <w:p w14:paraId="5E1FACAB" w14:textId="27C04FE0" w:rsidR="004354D6" w:rsidRPr="006B65BD" w:rsidRDefault="004354D6" w:rsidP="00B043AD">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hAnsiTheme="minorHAnsi" w:cstheme="minorHAnsi"/>
                <w:sz w:val="20"/>
                <w:szCs w:val="20"/>
              </w:rPr>
              <w:t>Percentage of mental health services clients, regardless of age, with a diagnosis of HIV who had at least one medical visit in each 6-month period of the 12-month measurement period with a minimum of</w:t>
            </w:r>
            <w:r w:rsidR="00394672">
              <w:rPr>
                <w:rFonts w:asciiTheme="minorHAnsi" w:hAnsiTheme="minorHAnsi" w:cstheme="minorHAnsi"/>
                <w:sz w:val="20"/>
                <w:szCs w:val="20"/>
              </w:rPr>
              <w:t xml:space="preserve"> 60 days between medical visits</w:t>
            </w:r>
          </w:p>
        </w:tc>
        <w:tc>
          <w:tcPr>
            <w:tcW w:w="1507" w:type="dxa"/>
            <w:shd w:val="clear" w:color="auto" w:fill="D9D9D9"/>
          </w:tcPr>
          <w:p w14:paraId="002FF60A"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62CCFFA9" w14:textId="77777777" w:rsidTr="00DE25B5">
        <w:trPr>
          <w:cantSplit/>
        </w:trPr>
        <w:tc>
          <w:tcPr>
            <w:tcW w:w="7807" w:type="dxa"/>
          </w:tcPr>
          <w:p w14:paraId="22E3B2EB" w14:textId="7C9396B9" w:rsidR="004354D6" w:rsidRPr="006B65BD" w:rsidRDefault="004354D6" w:rsidP="00B043AD">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xml:space="preserve"> Number of mental health services clients in the denominator who had at least one medical visit in each 6-month period of the 12-month measurement period with a minimum of 60 days between first medical visit in the prior 6-month period and the last medical visit i</w:t>
            </w:r>
            <w:r w:rsidR="00394672">
              <w:rPr>
                <w:rFonts w:asciiTheme="minorHAnsi" w:eastAsia="Times New Roman" w:hAnsiTheme="minorHAnsi" w:cstheme="minorHAnsi"/>
                <w:color w:val="000000"/>
                <w:sz w:val="20"/>
                <w:szCs w:val="20"/>
              </w:rPr>
              <w:t>n the subsequent 6-month period</w:t>
            </w:r>
          </w:p>
        </w:tc>
        <w:tc>
          <w:tcPr>
            <w:tcW w:w="1507" w:type="dxa"/>
          </w:tcPr>
          <w:p w14:paraId="145397FF"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p w14:paraId="65FAD512"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3551180C" w14:textId="77777777" w:rsidTr="00DE25B5">
        <w:trPr>
          <w:cantSplit/>
        </w:trPr>
        <w:tc>
          <w:tcPr>
            <w:tcW w:w="7807" w:type="dxa"/>
          </w:tcPr>
          <w:p w14:paraId="6D78D45A" w14:textId="346CA3EC" w:rsidR="004354D6" w:rsidRPr="006B65BD" w:rsidRDefault="004354D6" w:rsidP="00B043AD">
            <w:pPr>
              <w:widowControl w:val="0"/>
              <w:spacing w:after="60" w:line="240" w:lineRule="auto"/>
              <w:rPr>
                <w:rFonts w:asciiTheme="minorHAnsi" w:eastAsia="Times New Roman" w:hAnsiTheme="minorHAnsi" w:cstheme="minorHAnsi"/>
                <w:color w:val="000000"/>
                <w:sz w:val="20"/>
                <w:szCs w:val="20"/>
                <w:u w:val="single"/>
              </w:rPr>
            </w:pP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xml:space="preserve"> Number of mental health services clients, regardless of age, with a diagnosis of HIV with at least one medical visit in the first 6 months of </w:t>
            </w:r>
            <w:r w:rsidR="00394672">
              <w:rPr>
                <w:rFonts w:asciiTheme="minorHAnsi" w:eastAsia="Times New Roman" w:hAnsiTheme="minorHAnsi" w:cstheme="minorHAnsi"/>
                <w:color w:val="000000"/>
                <w:sz w:val="20"/>
                <w:szCs w:val="20"/>
              </w:rPr>
              <w:t>the 12-month measurement period</w:t>
            </w:r>
          </w:p>
        </w:tc>
        <w:tc>
          <w:tcPr>
            <w:tcW w:w="1507" w:type="dxa"/>
          </w:tcPr>
          <w:p w14:paraId="4F77785B"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452D7C9C" w14:textId="77777777" w:rsidTr="00DE25B5">
        <w:trPr>
          <w:cantSplit/>
        </w:trPr>
        <w:tc>
          <w:tcPr>
            <w:tcW w:w="7807" w:type="dxa"/>
          </w:tcPr>
          <w:p w14:paraId="031447CD" w14:textId="1F626458" w:rsidR="004354D6" w:rsidRPr="006B65BD" w:rsidRDefault="004354D6" w:rsidP="00B043AD">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Clients who died at any time during </w:t>
            </w:r>
            <w:r w:rsidR="00394672">
              <w:rPr>
                <w:rFonts w:asciiTheme="minorHAnsi" w:eastAsia="Times New Roman" w:hAnsiTheme="minorHAnsi" w:cstheme="minorHAnsi"/>
                <w:color w:val="000000"/>
                <w:sz w:val="20"/>
                <w:szCs w:val="20"/>
              </w:rPr>
              <w:t>the 12-month measurement period</w:t>
            </w:r>
          </w:p>
        </w:tc>
        <w:tc>
          <w:tcPr>
            <w:tcW w:w="1507" w:type="dxa"/>
          </w:tcPr>
          <w:p w14:paraId="3C1322DE"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rPr>
            </w:pPr>
          </w:p>
        </w:tc>
      </w:tr>
      <w:tr w:rsidR="004354D6" w:rsidRPr="006B65BD" w14:paraId="550F75B4" w14:textId="77777777" w:rsidTr="00DE25B5">
        <w:trPr>
          <w:cantSplit/>
        </w:trPr>
        <w:tc>
          <w:tcPr>
            <w:tcW w:w="7807" w:type="dxa"/>
          </w:tcPr>
          <w:p w14:paraId="7D1254F8"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lastRenderedPageBreak/>
              <w:t>Outcome Rate:</w:t>
            </w:r>
          </w:p>
        </w:tc>
        <w:tc>
          <w:tcPr>
            <w:tcW w:w="1507" w:type="dxa"/>
          </w:tcPr>
          <w:p w14:paraId="4352A84D"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80%</w:t>
            </w:r>
          </w:p>
        </w:tc>
      </w:tr>
    </w:tbl>
    <w:p w14:paraId="4D234B2A" w14:textId="77777777" w:rsidR="00FB7F5B" w:rsidRPr="006B65BD" w:rsidRDefault="00FB7F5B" w:rsidP="004354D6">
      <w:pPr>
        <w:pStyle w:val="ListParagraph"/>
        <w:spacing w:after="0" w:line="240" w:lineRule="auto"/>
        <w:ind w:left="0"/>
        <w:rPr>
          <w:rFonts w:asciiTheme="minorHAnsi" w:eastAsia="Times New Roman" w:hAnsiTheme="minorHAnsi" w:cstheme="minorHAnsi"/>
          <w:sz w:val="24"/>
          <w:szCs w:val="24"/>
        </w:rPr>
      </w:pPr>
    </w:p>
    <w:p w14:paraId="5E075CC1" w14:textId="77777777" w:rsidR="004354D6" w:rsidRDefault="00FB7F5B" w:rsidP="004354D6">
      <w:pPr>
        <w:pStyle w:val="ListParagraph"/>
        <w:spacing w:after="0" w:line="240" w:lineRule="auto"/>
        <w:ind w:left="0"/>
        <w:rPr>
          <w:rFonts w:asciiTheme="minorHAnsi" w:eastAsia="Times New Roman" w:hAnsiTheme="minorHAnsi" w:cstheme="minorHAnsi"/>
          <w:sz w:val="32"/>
          <w:szCs w:val="32"/>
        </w:rPr>
      </w:pPr>
      <w:r w:rsidRPr="006B65BD">
        <w:rPr>
          <w:rFonts w:asciiTheme="minorHAnsi" w:eastAsia="Times New Roman" w:hAnsiTheme="minorHAnsi" w:cstheme="minorHAnsi"/>
          <w:sz w:val="24"/>
          <w:szCs w:val="24"/>
        </w:rPr>
        <w:br w:type="page"/>
      </w:r>
      <w:r w:rsidR="004354D6" w:rsidRPr="006B65BD">
        <w:rPr>
          <w:rFonts w:asciiTheme="minorHAnsi" w:eastAsia="Times New Roman" w:hAnsiTheme="minorHAnsi" w:cstheme="minorHAnsi"/>
          <w:b/>
          <w:sz w:val="32"/>
          <w:szCs w:val="32"/>
        </w:rPr>
        <w:lastRenderedPageBreak/>
        <w:t>Non-Medical Case Management</w:t>
      </w:r>
      <w:r w:rsidR="004354D6" w:rsidRPr="006B65BD">
        <w:rPr>
          <w:rFonts w:asciiTheme="minorHAnsi" w:eastAsia="Times New Roman" w:hAnsiTheme="minorHAnsi" w:cstheme="minorHAnsi"/>
          <w:sz w:val="32"/>
          <w:szCs w:val="32"/>
        </w:rPr>
        <w:t xml:space="preserve"> (NMCM) </w:t>
      </w:r>
    </w:p>
    <w:p w14:paraId="5B7E316D" w14:textId="77777777" w:rsidR="004354D6" w:rsidRPr="00646198" w:rsidRDefault="004354D6" w:rsidP="00646198">
      <w:pPr>
        <w:spacing w:after="0" w:line="240" w:lineRule="auto"/>
        <w:rPr>
          <w:rFonts w:asciiTheme="minorHAnsi" w:eastAsia="Times New Roman" w:hAnsiTheme="minorHAnsi" w:cstheme="minorHAnsi"/>
          <w:sz w:val="24"/>
          <w:szCs w:val="24"/>
        </w:rPr>
      </w:pPr>
      <w:r w:rsidRPr="00646198">
        <w:rPr>
          <w:rFonts w:asciiTheme="minorHAnsi" w:eastAsia="Times New Roman" w:hAnsiTheme="minorHAnsi" w:cstheme="minorHAnsi"/>
          <w:sz w:val="24"/>
          <w:szCs w:val="24"/>
        </w:rPr>
        <w:t>Non-Medical Case Management (NMCM) Services provide guidance and assistance in accessing medical, social, community, legal, financial, and other needed services. Non-Medical Case management services may also include assisting eligible clients to obtain access to other public and private programs for which they may be eligible, such as Medicaid, Medicare/Medicare Part D, State Pharmacy Assistance Programs, Pharmaceutical Manufacturer’s Patient Assistance Programs, other state or local health care and supportive services, or health insurance Marketplace plans.</w:t>
      </w:r>
    </w:p>
    <w:p w14:paraId="366960DB" w14:textId="3D2CC5B3" w:rsidR="000C40DB" w:rsidRPr="006B65BD" w:rsidRDefault="000C40DB" w:rsidP="00646198">
      <w:pPr>
        <w:pStyle w:val="NoSpacing"/>
        <w:numPr>
          <w:ilvl w:val="0"/>
          <w:numId w:val="4"/>
        </w:numPr>
        <w:rPr>
          <w:rFonts w:asciiTheme="minorHAnsi" w:hAnsiTheme="minorHAnsi" w:cstheme="minorHAnsi"/>
          <w:sz w:val="24"/>
          <w:szCs w:val="24"/>
        </w:rPr>
      </w:pPr>
      <w:r w:rsidRPr="006B65BD">
        <w:rPr>
          <w:rFonts w:asciiTheme="minorHAnsi" w:hAnsiTheme="minorHAnsi" w:cstheme="minorHAnsi"/>
          <w:sz w:val="24"/>
          <w:szCs w:val="24"/>
        </w:rPr>
        <w:t xml:space="preserve">Housing </w:t>
      </w:r>
      <w:r w:rsidR="00F305DF">
        <w:rPr>
          <w:rFonts w:asciiTheme="minorHAnsi" w:hAnsiTheme="minorHAnsi" w:cstheme="minorHAnsi"/>
          <w:sz w:val="24"/>
          <w:szCs w:val="24"/>
        </w:rPr>
        <w:t>Case Management</w:t>
      </w:r>
      <w:r w:rsidR="007F6E48">
        <w:rPr>
          <w:rFonts w:asciiTheme="minorHAnsi" w:hAnsiTheme="minorHAnsi" w:cstheme="minorHAnsi"/>
          <w:sz w:val="24"/>
          <w:szCs w:val="24"/>
        </w:rPr>
        <w:t xml:space="preserve"> </w:t>
      </w:r>
      <w:r w:rsidR="00F305DF">
        <w:rPr>
          <w:rFonts w:asciiTheme="minorHAnsi" w:hAnsiTheme="minorHAnsi" w:cstheme="minorHAnsi"/>
          <w:sz w:val="24"/>
          <w:szCs w:val="24"/>
        </w:rPr>
        <w:t>(HCM) S</w:t>
      </w:r>
      <w:r w:rsidRPr="006B65BD">
        <w:rPr>
          <w:rFonts w:asciiTheme="minorHAnsi" w:hAnsiTheme="minorHAnsi" w:cstheme="minorHAnsi"/>
          <w:sz w:val="24"/>
          <w:szCs w:val="24"/>
        </w:rPr>
        <w:t>ervices, including assessment, search, placement, and advocacy services</w:t>
      </w:r>
      <w:r>
        <w:rPr>
          <w:rFonts w:asciiTheme="minorHAnsi" w:hAnsiTheme="minorHAnsi" w:cstheme="minorHAnsi"/>
          <w:sz w:val="24"/>
          <w:szCs w:val="24"/>
        </w:rPr>
        <w:t xml:space="preserve"> serve a critical need in the community</w:t>
      </w:r>
      <w:r w:rsidRPr="006B65BD">
        <w:rPr>
          <w:rFonts w:asciiTheme="minorHAnsi" w:hAnsiTheme="minorHAnsi" w:cstheme="minorHAnsi"/>
          <w:sz w:val="24"/>
          <w:szCs w:val="24"/>
        </w:rPr>
        <w:t xml:space="preserve">.  </w:t>
      </w:r>
      <w:r w:rsidR="00646198" w:rsidRPr="00646198">
        <w:rPr>
          <w:rFonts w:asciiTheme="minorHAnsi" w:hAnsiTheme="minorHAnsi" w:cstheme="minorHAnsi"/>
          <w:b/>
          <w:sz w:val="24"/>
          <w:szCs w:val="24"/>
        </w:rPr>
        <w:t xml:space="preserve">Based on community input, </w:t>
      </w:r>
      <w:r w:rsidR="00646198">
        <w:rPr>
          <w:rFonts w:asciiTheme="minorHAnsi" w:hAnsiTheme="minorHAnsi" w:cstheme="minorHAnsi"/>
          <w:b/>
          <w:sz w:val="24"/>
          <w:szCs w:val="24"/>
        </w:rPr>
        <w:t xml:space="preserve">a NMCM program that includes </w:t>
      </w:r>
      <w:r w:rsidR="00646198" w:rsidRPr="00646198">
        <w:rPr>
          <w:rFonts w:asciiTheme="minorHAnsi" w:hAnsiTheme="minorHAnsi" w:cstheme="minorHAnsi"/>
          <w:b/>
          <w:sz w:val="24"/>
          <w:szCs w:val="24"/>
        </w:rPr>
        <w:t>this sub-service may receive preferential scoring</w:t>
      </w:r>
      <w:r w:rsidR="00646198">
        <w:rPr>
          <w:rFonts w:asciiTheme="minorHAnsi" w:hAnsiTheme="minorHAnsi" w:cstheme="minorHAnsi"/>
          <w:b/>
          <w:sz w:val="24"/>
          <w:szCs w:val="24"/>
        </w:rPr>
        <w:t xml:space="preserve"> within this service category</w:t>
      </w:r>
      <w:r w:rsidR="00646198" w:rsidRPr="00646198">
        <w:rPr>
          <w:rFonts w:asciiTheme="minorHAnsi" w:hAnsiTheme="minorHAnsi" w:cstheme="minorHAnsi"/>
          <w:b/>
          <w:sz w:val="24"/>
          <w:szCs w:val="24"/>
        </w:rPr>
        <w:t xml:space="preserve">. </w:t>
      </w:r>
      <w:r w:rsidRPr="006B65BD">
        <w:rPr>
          <w:rFonts w:asciiTheme="minorHAnsi" w:hAnsiTheme="minorHAnsi" w:cstheme="minorHAnsi"/>
          <w:sz w:val="24"/>
          <w:szCs w:val="24"/>
        </w:rPr>
        <w:t>H</w:t>
      </w:r>
      <w:r w:rsidR="00F305DF">
        <w:rPr>
          <w:rFonts w:asciiTheme="minorHAnsi" w:hAnsiTheme="minorHAnsi" w:cstheme="minorHAnsi"/>
          <w:sz w:val="24"/>
          <w:szCs w:val="24"/>
        </w:rPr>
        <w:t>CM Services</w:t>
      </w:r>
      <w:r w:rsidRPr="006B65BD">
        <w:rPr>
          <w:rFonts w:asciiTheme="minorHAnsi" w:hAnsiTheme="minorHAnsi" w:cstheme="minorHAnsi"/>
          <w:sz w:val="24"/>
          <w:szCs w:val="24"/>
        </w:rPr>
        <w:t xml:space="preserve"> must have as </w:t>
      </w:r>
      <w:r w:rsidR="00F305DF">
        <w:rPr>
          <w:rFonts w:asciiTheme="minorHAnsi" w:hAnsiTheme="minorHAnsi" w:cstheme="minorHAnsi"/>
          <w:sz w:val="24"/>
          <w:szCs w:val="24"/>
        </w:rPr>
        <w:t>its</w:t>
      </w:r>
      <w:r w:rsidRPr="006B65BD">
        <w:rPr>
          <w:rFonts w:asciiTheme="minorHAnsi" w:hAnsiTheme="minorHAnsi" w:cstheme="minorHAnsi"/>
          <w:sz w:val="24"/>
          <w:szCs w:val="24"/>
        </w:rPr>
        <w:t xml:space="preserve"> primary goal linking the individual </w:t>
      </w:r>
      <w:r w:rsidR="00394672">
        <w:rPr>
          <w:rFonts w:asciiTheme="minorHAnsi" w:hAnsiTheme="minorHAnsi" w:cstheme="minorHAnsi"/>
          <w:sz w:val="24"/>
          <w:szCs w:val="24"/>
        </w:rPr>
        <w:t>to</w:t>
      </w:r>
      <w:r w:rsidRPr="006B65BD">
        <w:rPr>
          <w:rFonts w:asciiTheme="minorHAnsi" w:hAnsiTheme="minorHAnsi" w:cstheme="minorHAnsi"/>
          <w:sz w:val="24"/>
          <w:szCs w:val="24"/>
        </w:rPr>
        <w:t xml:space="preserve"> </w:t>
      </w:r>
      <w:r w:rsidR="00F305DF">
        <w:rPr>
          <w:rFonts w:asciiTheme="minorHAnsi" w:hAnsiTheme="minorHAnsi" w:cstheme="minorHAnsi"/>
          <w:sz w:val="24"/>
          <w:szCs w:val="24"/>
        </w:rPr>
        <w:t xml:space="preserve">stable </w:t>
      </w:r>
      <w:r w:rsidRPr="006B65BD">
        <w:rPr>
          <w:rFonts w:asciiTheme="minorHAnsi" w:hAnsiTheme="minorHAnsi" w:cstheme="minorHAnsi"/>
          <w:sz w:val="24"/>
          <w:szCs w:val="24"/>
        </w:rPr>
        <w:t xml:space="preserve">housing through development of an individualized plan using </w:t>
      </w:r>
      <w:r w:rsidR="007F6E48">
        <w:rPr>
          <w:rFonts w:asciiTheme="minorHAnsi" w:hAnsiTheme="minorHAnsi" w:cstheme="minorHAnsi"/>
          <w:sz w:val="24"/>
          <w:szCs w:val="24"/>
        </w:rPr>
        <w:t>c</w:t>
      </w:r>
      <w:r w:rsidRPr="006B65BD">
        <w:rPr>
          <w:rFonts w:asciiTheme="minorHAnsi" w:hAnsiTheme="minorHAnsi" w:cstheme="minorHAnsi"/>
          <w:sz w:val="24"/>
          <w:szCs w:val="24"/>
        </w:rPr>
        <w:t xml:space="preserve">ollaborative relationships with </w:t>
      </w:r>
      <w:r w:rsidR="007F6E48">
        <w:rPr>
          <w:rFonts w:asciiTheme="minorHAnsi" w:hAnsiTheme="minorHAnsi" w:cstheme="minorHAnsi"/>
          <w:sz w:val="24"/>
          <w:szCs w:val="24"/>
        </w:rPr>
        <w:t xml:space="preserve">HIV-focused </w:t>
      </w:r>
      <w:r w:rsidR="007F6E48" w:rsidRPr="00F305DF">
        <w:rPr>
          <w:rFonts w:asciiTheme="minorHAnsi" w:hAnsiTheme="minorHAnsi" w:cstheme="minorHAnsi"/>
          <w:b/>
          <w:sz w:val="24"/>
          <w:szCs w:val="24"/>
          <w:u w:val="single"/>
        </w:rPr>
        <w:t>and</w:t>
      </w:r>
      <w:r w:rsidR="007F6E48">
        <w:rPr>
          <w:rFonts w:asciiTheme="minorHAnsi" w:hAnsiTheme="minorHAnsi" w:cstheme="minorHAnsi"/>
          <w:sz w:val="24"/>
          <w:szCs w:val="24"/>
        </w:rPr>
        <w:t xml:space="preserve"> other </w:t>
      </w:r>
      <w:r w:rsidRPr="006B65BD">
        <w:rPr>
          <w:rFonts w:asciiTheme="minorHAnsi" w:hAnsiTheme="minorHAnsi" w:cstheme="minorHAnsi"/>
          <w:sz w:val="24"/>
          <w:szCs w:val="24"/>
        </w:rPr>
        <w:t>housing providers in the area.  Housing to which a client is linked does not have to be with</w:t>
      </w:r>
      <w:r>
        <w:rPr>
          <w:rFonts w:asciiTheme="minorHAnsi" w:hAnsiTheme="minorHAnsi" w:cstheme="minorHAnsi"/>
          <w:sz w:val="24"/>
          <w:szCs w:val="24"/>
        </w:rPr>
        <w:t>in</w:t>
      </w:r>
      <w:r w:rsidRPr="006B65BD">
        <w:rPr>
          <w:rFonts w:asciiTheme="minorHAnsi" w:hAnsiTheme="minorHAnsi" w:cstheme="minorHAnsi"/>
          <w:sz w:val="24"/>
          <w:szCs w:val="24"/>
        </w:rPr>
        <w:t xml:space="preserve"> Austin and/or Travis County, but follow-up evaluation and related services</w:t>
      </w:r>
      <w:r w:rsidR="007F6E48">
        <w:rPr>
          <w:rFonts w:asciiTheme="minorHAnsi" w:hAnsiTheme="minorHAnsi" w:cstheme="minorHAnsi"/>
          <w:sz w:val="24"/>
          <w:szCs w:val="24"/>
        </w:rPr>
        <w:t xml:space="preserve"> may continue for no more than 6</w:t>
      </w:r>
      <w:r w:rsidRPr="006B65BD">
        <w:rPr>
          <w:rFonts w:asciiTheme="minorHAnsi" w:hAnsiTheme="minorHAnsi" w:cstheme="minorHAnsi"/>
          <w:sz w:val="24"/>
          <w:szCs w:val="24"/>
        </w:rPr>
        <w:t>0 days after any placement outside of Austin/Travis County.</w:t>
      </w:r>
      <w:r w:rsidR="00646198">
        <w:rPr>
          <w:rFonts w:asciiTheme="minorHAnsi" w:hAnsiTheme="minorHAnsi" w:cstheme="minorHAnsi"/>
          <w:sz w:val="24"/>
          <w:szCs w:val="24"/>
        </w:rPr>
        <w:t xml:space="preserve">  </w:t>
      </w:r>
    </w:p>
    <w:p w14:paraId="133B1039" w14:textId="77777777" w:rsidR="004354D6" w:rsidRPr="006B65BD" w:rsidRDefault="004354D6" w:rsidP="004354D6">
      <w:pPr>
        <w:pStyle w:val="ListParagraph"/>
        <w:spacing w:after="0" w:line="240" w:lineRule="auto"/>
        <w:ind w:left="0"/>
        <w:rPr>
          <w:rFonts w:asciiTheme="minorHAnsi" w:eastAsia="Times New Roman" w:hAnsiTheme="minorHAnsi" w:cstheme="minorHAnsi"/>
          <w:sz w:val="24"/>
          <w:szCs w:val="24"/>
        </w:rPr>
      </w:pPr>
    </w:p>
    <w:p w14:paraId="5BEA0437" w14:textId="77777777" w:rsidR="004354D6" w:rsidRPr="00646198" w:rsidRDefault="004354D6" w:rsidP="00646198">
      <w:pPr>
        <w:pStyle w:val="ListParagraph"/>
        <w:numPr>
          <w:ilvl w:val="0"/>
          <w:numId w:val="17"/>
        </w:numPr>
        <w:spacing w:after="0" w:line="240" w:lineRule="auto"/>
        <w:rPr>
          <w:rFonts w:asciiTheme="minorHAnsi" w:eastAsia="Times New Roman" w:hAnsiTheme="minorHAnsi" w:cstheme="minorHAnsi"/>
          <w:sz w:val="24"/>
          <w:szCs w:val="24"/>
          <w:u w:val="single"/>
        </w:rPr>
      </w:pPr>
      <w:r w:rsidRPr="00646198">
        <w:rPr>
          <w:rFonts w:asciiTheme="minorHAnsi" w:eastAsia="Times New Roman" w:hAnsiTheme="minorHAnsi" w:cstheme="minorHAnsi"/>
          <w:sz w:val="24"/>
          <w:szCs w:val="24"/>
          <w:u w:val="single"/>
        </w:rPr>
        <w:t>Unit of Service Definition: Per 15 minutes</w:t>
      </w:r>
    </w:p>
    <w:p w14:paraId="3BB0A3F2" w14:textId="77777777" w:rsidR="004354D6" w:rsidRPr="006B65BD" w:rsidRDefault="004354D6" w:rsidP="004354D6">
      <w:pPr>
        <w:pStyle w:val="ListParagraph"/>
        <w:spacing w:after="0" w:line="240" w:lineRule="auto"/>
        <w:rPr>
          <w:rFonts w:asciiTheme="minorHAnsi" w:eastAsia="Times New Roman" w:hAnsiTheme="minorHAnsi" w:cstheme="minorHAnsi"/>
          <w:sz w:val="24"/>
          <w:szCs w:val="24"/>
          <w:u w:val="single"/>
        </w:rPr>
      </w:pPr>
    </w:p>
    <w:p w14:paraId="028E5F52" w14:textId="77777777" w:rsidR="004354D6" w:rsidRPr="006B65BD" w:rsidRDefault="004354D6" w:rsidP="00646198">
      <w:pPr>
        <w:pStyle w:val="ListParagraph"/>
        <w:spacing w:after="0" w:line="240" w:lineRule="auto"/>
        <w:ind w:left="0"/>
        <w:rPr>
          <w:rFonts w:asciiTheme="minorHAnsi" w:eastAsia="Times New Roman" w:hAnsiTheme="minorHAnsi" w:cstheme="minorHAnsi"/>
          <w:b/>
          <w:sz w:val="24"/>
          <w:szCs w:val="24"/>
          <w:u w:val="single"/>
        </w:rPr>
      </w:pPr>
      <w:r w:rsidRPr="006B65BD">
        <w:rPr>
          <w:rFonts w:asciiTheme="minorHAnsi" w:eastAsia="Times New Roman" w:hAnsiTheme="minorHAnsi" w:cstheme="minorHAnsi"/>
          <w:b/>
          <w:sz w:val="24"/>
          <w:szCs w:val="24"/>
          <w:u w:val="single"/>
        </w:rPr>
        <w:lastRenderedPageBreak/>
        <w:t xml:space="preserve">REQUIRED OUTCOME MEASURES FOR </w:t>
      </w:r>
      <w:r w:rsidR="00FB7F5B" w:rsidRPr="006B65BD">
        <w:rPr>
          <w:rFonts w:asciiTheme="minorHAnsi" w:eastAsia="Times New Roman" w:hAnsiTheme="minorHAnsi" w:cstheme="minorHAnsi"/>
          <w:b/>
          <w:sz w:val="24"/>
          <w:szCs w:val="24"/>
          <w:u w:val="single"/>
        </w:rPr>
        <w:t>NON-MEDICAL CASE MANAGEMENT</w:t>
      </w:r>
      <w:r w:rsidRPr="006B65BD">
        <w:rPr>
          <w:rFonts w:asciiTheme="minorHAnsi" w:eastAsia="Times New Roman" w:hAnsiTheme="minorHAnsi" w:cstheme="minorHAnsi"/>
          <w:b/>
          <w:sz w:val="24"/>
          <w:szCs w:val="24"/>
          <w:u w:val="single"/>
        </w:rPr>
        <w:t>:</w:t>
      </w:r>
    </w:p>
    <w:p w14:paraId="2AEB8F8D" w14:textId="77777777" w:rsidR="004354D6" w:rsidRPr="006B65BD" w:rsidRDefault="004354D6" w:rsidP="004354D6">
      <w:pPr>
        <w:pStyle w:val="ListParagraph"/>
        <w:spacing w:after="0" w:line="240" w:lineRule="auto"/>
        <w:ind w:left="360"/>
        <w:rPr>
          <w:rFonts w:asciiTheme="minorHAnsi" w:eastAsia="Times New Roman" w:hAnsiTheme="minorHAnsi" w:cstheme="minorHAnsi"/>
          <w:b/>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97"/>
        <w:gridCol w:w="1417"/>
      </w:tblGrid>
      <w:tr w:rsidR="004354D6" w:rsidRPr="006B65BD" w14:paraId="7C4FFDEB" w14:textId="77777777" w:rsidTr="00DE25B5">
        <w:tc>
          <w:tcPr>
            <w:tcW w:w="7897" w:type="dxa"/>
          </w:tcPr>
          <w:p w14:paraId="29EEE7FF"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p w14:paraId="4D46EEF6"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 xml:space="preserve">Non-Medical Case Management – OUTCOME #1   </w:t>
            </w:r>
          </w:p>
        </w:tc>
        <w:tc>
          <w:tcPr>
            <w:tcW w:w="1417" w:type="dxa"/>
          </w:tcPr>
          <w:p w14:paraId="354A3E97"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34F99772" w14:textId="77777777" w:rsidTr="00DE25B5">
        <w:trPr>
          <w:cantSplit/>
          <w:trHeight w:val="473"/>
        </w:trPr>
        <w:tc>
          <w:tcPr>
            <w:tcW w:w="7897" w:type="dxa"/>
            <w:shd w:val="clear" w:color="auto" w:fill="D9D9D9"/>
          </w:tcPr>
          <w:p w14:paraId="23CD231F"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 xml:space="preserve">Outcome Measure: </w:t>
            </w:r>
            <w:r w:rsidRPr="006B65BD">
              <w:rPr>
                <w:rFonts w:asciiTheme="minorHAnsi" w:eastAsia="Times New Roman" w:hAnsiTheme="minorHAnsi" w:cstheme="minorHAnsi"/>
                <w:color w:val="000000"/>
                <w:sz w:val="20"/>
                <w:szCs w:val="20"/>
              </w:rPr>
              <w:t>Percentage of non-medical case management clients, regardless of age, with a diagnosis of HIV who had a non-medical case management service plan developed and/or updated two or more times in the measurement year.</w:t>
            </w:r>
          </w:p>
        </w:tc>
        <w:tc>
          <w:tcPr>
            <w:tcW w:w="1417" w:type="dxa"/>
            <w:shd w:val="clear" w:color="auto" w:fill="D9D9D9"/>
          </w:tcPr>
          <w:p w14:paraId="0FC934C1"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06D96ED6" w14:textId="77777777" w:rsidTr="00DE25B5">
        <w:trPr>
          <w:cantSplit/>
        </w:trPr>
        <w:tc>
          <w:tcPr>
            <w:tcW w:w="7897" w:type="dxa"/>
          </w:tcPr>
          <w:p w14:paraId="6633C741" w14:textId="77777777" w:rsidR="004354D6" w:rsidRPr="006B65BD" w:rsidRDefault="004354D6" w:rsidP="00803017">
            <w:pPr>
              <w:pStyle w:val="NoSpacing"/>
              <w:rPr>
                <w:rFonts w:asciiTheme="minorHAnsi" w:hAnsiTheme="minorHAnsi" w:cstheme="minorHAnsi"/>
                <w:sz w:val="20"/>
                <w:szCs w:val="20"/>
              </w:rPr>
            </w:pP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xml:space="preserve"> Number of non-medical case management clients who had a non-medical case management service plan developed and/or updated two or more times which are at least three months apart in the measurement year</w:t>
            </w:r>
          </w:p>
        </w:tc>
        <w:tc>
          <w:tcPr>
            <w:tcW w:w="1417" w:type="dxa"/>
          </w:tcPr>
          <w:p w14:paraId="6B6FF675"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p w14:paraId="414ECB48"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6309E29E" w14:textId="77777777" w:rsidTr="00DE25B5">
        <w:trPr>
          <w:cantSplit/>
        </w:trPr>
        <w:tc>
          <w:tcPr>
            <w:tcW w:w="7897" w:type="dxa"/>
          </w:tcPr>
          <w:p w14:paraId="5E7DCDE0"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u w:val="single"/>
              </w:rPr>
            </w:pP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xml:space="preserve"> Number of non-medical case management clients, regardless of age, with a diagnosis of HIV who had at least one non-medical case management encounter in the measurement year.</w:t>
            </w:r>
          </w:p>
        </w:tc>
        <w:tc>
          <w:tcPr>
            <w:tcW w:w="1417" w:type="dxa"/>
          </w:tcPr>
          <w:p w14:paraId="1B4FE4D1"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10C67B8E" w14:textId="77777777" w:rsidTr="00DE25B5">
        <w:trPr>
          <w:cantSplit/>
        </w:trPr>
        <w:tc>
          <w:tcPr>
            <w:tcW w:w="7897" w:type="dxa"/>
          </w:tcPr>
          <w:p w14:paraId="0D47A630"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Non-medical case management clients who initiated non-medical case management services in the last six months of the measurement year and non-medical case management clients who were discharged from non-medical case management services prior to six months of service in the measurement year.</w:t>
            </w:r>
          </w:p>
        </w:tc>
        <w:tc>
          <w:tcPr>
            <w:tcW w:w="1417" w:type="dxa"/>
          </w:tcPr>
          <w:p w14:paraId="10BF2A4D"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01E8464E" w14:textId="77777777" w:rsidTr="00DE25B5">
        <w:trPr>
          <w:cantSplit/>
        </w:trPr>
        <w:tc>
          <w:tcPr>
            <w:tcW w:w="7897" w:type="dxa"/>
          </w:tcPr>
          <w:p w14:paraId="297EB72D"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1417" w:type="dxa"/>
          </w:tcPr>
          <w:p w14:paraId="7D4602D9" w14:textId="77777777" w:rsidR="004354D6" w:rsidRPr="006B65BD" w:rsidRDefault="004354D6" w:rsidP="00A502DA">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80%</w:t>
            </w:r>
          </w:p>
        </w:tc>
      </w:tr>
    </w:tbl>
    <w:p w14:paraId="46DDE166" w14:textId="309332B3" w:rsidR="004354D6" w:rsidRDefault="004354D6" w:rsidP="004354D6">
      <w:pPr>
        <w:pStyle w:val="ListParagraph"/>
        <w:spacing w:after="0" w:line="240" w:lineRule="auto"/>
        <w:ind w:left="0"/>
        <w:rPr>
          <w:rFonts w:asciiTheme="minorHAnsi" w:eastAsia="Times New Roman" w:hAnsiTheme="minorHAnsi" w:cstheme="minorHAnsi"/>
          <w:sz w:val="24"/>
          <w:szCs w:val="24"/>
        </w:rPr>
      </w:pPr>
    </w:p>
    <w:p w14:paraId="1A0CD1D9" w14:textId="1D1FF407"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6DE177F2" w14:textId="53FE0C94"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54356FE4" w14:textId="51C448BA" w:rsidR="00DE25B5" w:rsidRDefault="00DE25B5" w:rsidP="004354D6">
      <w:pPr>
        <w:pStyle w:val="ListParagraph"/>
        <w:spacing w:after="0" w:line="240" w:lineRule="auto"/>
        <w:ind w:left="0"/>
        <w:rPr>
          <w:rFonts w:asciiTheme="minorHAnsi" w:eastAsia="Times New Roman" w:hAnsiTheme="minorHAnsi" w:cstheme="minorHAnsi"/>
          <w:sz w:val="24"/>
          <w:szCs w:val="24"/>
        </w:rPr>
      </w:pPr>
    </w:p>
    <w:p w14:paraId="7226F231" w14:textId="77777777" w:rsidR="00DE25B5" w:rsidRPr="006B65BD" w:rsidRDefault="00DE25B5" w:rsidP="004354D6">
      <w:pPr>
        <w:pStyle w:val="ListParagraph"/>
        <w:spacing w:after="0" w:line="240" w:lineRule="auto"/>
        <w:ind w:left="0"/>
        <w:rPr>
          <w:rFonts w:asciiTheme="minorHAnsi" w:eastAsia="Times New Roman" w:hAnsiTheme="minorHAnsi" w:cstheme="minorHAnsi"/>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897"/>
        <w:gridCol w:w="1417"/>
      </w:tblGrid>
      <w:tr w:rsidR="004354D6" w:rsidRPr="006B65BD" w14:paraId="7DF742C4" w14:textId="77777777" w:rsidTr="00DE25B5">
        <w:tc>
          <w:tcPr>
            <w:tcW w:w="7897" w:type="dxa"/>
          </w:tcPr>
          <w:p w14:paraId="491CCF56"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p w14:paraId="714AF972"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Non-Medical Case Management – OUTCOME #2</w:t>
            </w:r>
          </w:p>
        </w:tc>
        <w:tc>
          <w:tcPr>
            <w:tcW w:w="1417" w:type="dxa"/>
          </w:tcPr>
          <w:p w14:paraId="64507722" w14:textId="77777777" w:rsidR="004354D6" w:rsidRPr="006B65BD" w:rsidRDefault="00803017" w:rsidP="00803017">
            <w:pPr>
              <w:widowControl w:val="0"/>
              <w:spacing w:after="60" w:line="240" w:lineRule="auto"/>
              <w:jc w:val="center"/>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Required Outcome Rate</w:t>
            </w:r>
          </w:p>
        </w:tc>
      </w:tr>
      <w:tr w:rsidR="004354D6" w:rsidRPr="006B65BD" w14:paraId="28925FB2" w14:textId="77777777" w:rsidTr="00DE25B5">
        <w:trPr>
          <w:cantSplit/>
          <w:trHeight w:val="473"/>
        </w:trPr>
        <w:tc>
          <w:tcPr>
            <w:tcW w:w="7897" w:type="dxa"/>
            <w:shd w:val="clear" w:color="auto" w:fill="D9D9D9"/>
          </w:tcPr>
          <w:p w14:paraId="11C95D3B" w14:textId="77777777" w:rsidR="004354D6" w:rsidRPr="006B65BD" w:rsidRDefault="004354D6" w:rsidP="00803017">
            <w:pPr>
              <w:widowControl w:val="0"/>
              <w:spacing w:after="60" w:line="240" w:lineRule="auto"/>
              <w:rPr>
                <w:rFonts w:asciiTheme="minorHAnsi" w:eastAsia="Times New Roman" w:hAnsiTheme="minorHAnsi" w:cstheme="minorHAnsi"/>
                <w:b/>
                <w:color w:val="000000"/>
                <w:sz w:val="20"/>
                <w:szCs w:val="20"/>
              </w:rPr>
            </w:pPr>
            <w:r w:rsidRPr="006B65BD">
              <w:rPr>
                <w:rFonts w:asciiTheme="minorHAnsi" w:eastAsia="Times New Roman" w:hAnsiTheme="minorHAnsi" w:cstheme="minorHAnsi"/>
                <w:b/>
                <w:color w:val="000000"/>
                <w:sz w:val="20"/>
                <w:szCs w:val="20"/>
              </w:rPr>
              <w:t>Outcome Measure:</w:t>
            </w:r>
            <w:r w:rsidRPr="006B65BD">
              <w:rPr>
                <w:rFonts w:asciiTheme="minorHAnsi" w:eastAsia="Times New Roman" w:hAnsiTheme="minorHAnsi" w:cstheme="minorHAnsi"/>
                <w:color w:val="000000"/>
                <w:sz w:val="20"/>
                <w:szCs w:val="20"/>
              </w:rPr>
              <w:t xml:space="preserve"> Percentage of non-medical case management clients, regardless of age, with a diagnosis of HIV who had at least one medical visit in each 6-month period of the 12-month measurement period with a minimum of 60 days between medical visits.</w:t>
            </w:r>
          </w:p>
        </w:tc>
        <w:tc>
          <w:tcPr>
            <w:tcW w:w="1417" w:type="dxa"/>
            <w:shd w:val="clear" w:color="auto" w:fill="D9D9D9"/>
          </w:tcPr>
          <w:p w14:paraId="750A5601"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70B0B17F" w14:textId="77777777" w:rsidTr="00DE25B5">
        <w:trPr>
          <w:cantSplit/>
        </w:trPr>
        <w:tc>
          <w:tcPr>
            <w:tcW w:w="7897" w:type="dxa"/>
          </w:tcPr>
          <w:p w14:paraId="126E08E8"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Numerator:</w:t>
            </w:r>
            <w:r w:rsidRPr="006B65BD">
              <w:rPr>
                <w:rFonts w:asciiTheme="minorHAnsi" w:eastAsia="Times New Roman" w:hAnsiTheme="minorHAnsi" w:cstheme="minorHAnsi"/>
                <w:color w:val="000000"/>
                <w:sz w:val="20"/>
                <w:szCs w:val="20"/>
              </w:rPr>
              <w:t xml:space="preserve"> Number of non-medical case management clients in the denominator who had at least one medical visit in each 6-month period of the 12-month measurement period with a minimum of 60 days between first medical visit in the prior 6-month period and the last medical visit in the subsequent 6-month period.</w:t>
            </w:r>
          </w:p>
        </w:tc>
        <w:tc>
          <w:tcPr>
            <w:tcW w:w="1417" w:type="dxa"/>
          </w:tcPr>
          <w:p w14:paraId="22586C92"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p w14:paraId="3549F109" w14:textId="77777777" w:rsidR="004354D6" w:rsidRPr="006B65BD" w:rsidRDefault="004354D6" w:rsidP="00803017">
            <w:pPr>
              <w:widowControl w:val="0"/>
              <w:spacing w:after="60" w:line="240" w:lineRule="auto"/>
              <w:rPr>
                <w:rFonts w:asciiTheme="minorHAnsi" w:eastAsia="Times New Roman" w:hAnsiTheme="minorHAnsi" w:cstheme="minorHAnsi"/>
                <w:color w:val="000000"/>
                <w:sz w:val="20"/>
                <w:szCs w:val="20"/>
              </w:rPr>
            </w:pPr>
          </w:p>
        </w:tc>
      </w:tr>
      <w:tr w:rsidR="004354D6" w:rsidRPr="006B65BD" w14:paraId="43ACA47A" w14:textId="77777777" w:rsidTr="00DE25B5">
        <w:trPr>
          <w:cantSplit/>
        </w:trPr>
        <w:tc>
          <w:tcPr>
            <w:tcW w:w="7897" w:type="dxa"/>
          </w:tcPr>
          <w:p w14:paraId="45963D10"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Denominator:</w:t>
            </w:r>
            <w:r w:rsidRPr="006B65BD">
              <w:rPr>
                <w:rFonts w:asciiTheme="minorHAnsi" w:eastAsia="Times New Roman" w:hAnsiTheme="minorHAnsi" w:cstheme="minorHAnsi"/>
                <w:color w:val="000000"/>
                <w:sz w:val="20"/>
                <w:szCs w:val="20"/>
              </w:rPr>
              <w:t xml:space="preserve"> Number of non-medical case management clients, regardless of age, with a diagnosis of HIV with at least one medical visit in the first 6 months of the 12-month measurement period.</w:t>
            </w:r>
          </w:p>
        </w:tc>
        <w:tc>
          <w:tcPr>
            <w:tcW w:w="1417" w:type="dxa"/>
          </w:tcPr>
          <w:p w14:paraId="2FB16641"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2D8B043B" w14:textId="77777777" w:rsidTr="00DE25B5">
        <w:trPr>
          <w:cantSplit/>
        </w:trPr>
        <w:tc>
          <w:tcPr>
            <w:tcW w:w="7897" w:type="dxa"/>
          </w:tcPr>
          <w:p w14:paraId="512EC67E"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Client Exclusions:</w:t>
            </w:r>
            <w:r w:rsidRPr="006B65BD">
              <w:rPr>
                <w:rFonts w:asciiTheme="minorHAnsi" w:eastAsia="Times New Roman" w:hAnsiTheme="minorHAnsi" w:cstheme="minorHAnsi"/>
                <w:color w:val="000000"/>
                <w:sz w:val="20"/>
                <w:szCs w:val="20"/>
              </w:rPr>
              <w:t xml:space="preserve"> Clients who died at any time during the 12-month measurement period.</w:t>
            </w:r>
          </w:p>
        </w:tc>
        <w:tc>
          <w:tcPr>
            <w:tcW w:w="1417" w:type="dxa"/>
          </w:tcPr>
          <w:p w14:paraId="0A81B860" w14:textId="77777777" w:rsidR="004354D6" w:rsidRPr="006B65BD" w:rsidRDefault="004354D6" w:rsidP="00D53E59">
            <w:pPr>
              <w:widowControl w:val="0"/>
              <w:spacing w:after="60" w:line="240" w:lineRule="auto"/>
              <w:jc w:val="both"/>
              <w:rPr>
                <w:rFonts w:asciiTheme="minorHAnsi" w:eastAsia="Times New Roman" w:hAnsiTheme="minorHAnsi" w:cstheme="minorHAnsi"/>
                <w:color w:val="000000"/>
                <w:sz w:val="20"/>
                <w:szCs w:val="20"/>
              </w:rPr>
            </w:pPr>
          </w:p>
        </w:tc>
      </w:tr>
      <w:tr w:rsidR="004354D6" w:rsidRPr="006B65BD" w14:paraId="3353AE91" w14:textId="77777777" w:rsidTr="00DE25B5">
        <w:trPr>
          <w:cantSplit/>
        </w:trPr>
        <w:tc>
          <w:tcPr>
            <w:tcW w:w="7897" w:type="dxa"/>
          </w:tcPr>
          <w:p w14:paraId="492E1E9B" w14:textId="77777777" w:rsidR="004354D6" w:rsidRPr="006B65BD" w:rsidRDefault="004354D6" w:rsidP="00D53E59">
            <w:pPr>
              <w:widowControl w:val="0"/>
              <w:spacing w:after="60" w:line="240" w:lineRule="auto"/>
              <w:jc w:val="both"/>
              <w:rPr>
                <w:rFonts w:asciiTheme="minorHAnsi" w:eastAsia="Times New Roman" w:hAnsiTheme="minorHAnsi" w:cstheme="minorHAnsi"/>
                <w:b/>
                <w:color w:val="000000"/>
                <w:sz w:val="20"/>
                <w:szCs w:val="20"/>
                <w:u w:val="single"/>
              </w:rPr>
            </w:pPr>
            <w:r w:rsidRPr="006B65BD">
              <w:rPr>
                <w:rFonts w:asciiTheme="minorHAnsi" w:eastAsia="Times New Roman" w:hAnsiTheme="minorHAnsi" w:cstheme="minorHAnsi"/>
                <w:b/>
                <w:color w:val="000000"/>
                <w:sz w:val="20"/>
                <w:szCs w:val="20"/>
              </w:rPr>
              <w:t>Outcome Rate:</w:t>
            </w:r>
          </w:p>
        </w:tc>
        <w:tc>
          <w:tcPr>
            <w:tcW w:w="1417" w:type="dxa"/>
          </w:tcPr>
          <w:p w14:paraId="0958EB9D" w14:textId="77777777" w:rsidR="004354D6" w:rsidRPr="006B65BD" w:rsidRDefault="004354D6" w:rsidP="00803017">
            <w:pPr>
              <w:widowControl w:val="0"/>
              <w:spacing w:after="60" w:line="240" w:lineRule="auto"/>
              <w:jc w:val="center"/>
              <w:rPr>
                <w:rFonts w:asciiTheme="minorHAnsi" w:eastAsia="Times New Roman" w:hAnsiTheme="minorHAnsi" w:cstheme="minorHAnsi"/>
                <w:color w:val="000000"/>
                <w:sz w:val="20"/>
                <w:szCs w:val="20"/>
              </w:rPr>
            </w:pPr>
            <w:r w:rsidRPr="006B65BD">
              <w:rPr>
                <w:rFonts w:asciiTheme="minorHAnsi" w:eastAsia="Times New Roman" w:hAnsiTheme="minorHAnsi" w:cstheme="minorHAnsi"/>
                <w:b/>
                <w:color w:val="000000"/>
                <w:sz w:val="20"/>
                <w:szCs w:val="20"/>
              </w:rPr>
              <w:t>85%</w:t>
            </w:r>
          </w:p>
        </w:tc>
      </w:tr>
    </w:tbl>
    <w:p w14:paraId="6959929E" w14:textId="4AC81734" w:rsidR="00A0414B" w:rsidRDefault="00A0414B">
      <w:pPr>
        <w:spacing w:after="0" w:line="240" w:lineRule="auto"/>
        <w:rPr>
          <w:rFonts w:asciiTheme="minorHAnsi" w:eastAsia="Times New Roman" w:hAnsiTheme="minorHAnsi" w:cstheme="minorHAnsi"/>
          <w:b/>
          <w:sz w:val="56"/>
          <w:szCs w:val="24"/>
        </w:rPr>
      </w:pPr>
    </w:p>
    <w:sectPr w:rsidR="00A0414B" w:rsidSect="00BA0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2B0E" w14:textId="77777777" w:rsidR="00B47749" w:rsidRDefault="00B47749">
      <w:pPr>
        <w:spacing w:after="0" w:line="240" w:lineRule="auto"/>
      </w:pPr>
      <w:r>
        <w:separator/>
      </w:r>
    </w:p>
  </w:endnote>
  <w:endnote w:type="continuationSeparator" w:id="0">
    <w:p w14:paraId="18DCD11C" w14:textId="77777777" w:rsidR="00B47749" w:rsidRDefault="00B4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CFEA" w14:textId="3F448D86" w:rsidR="00C37A6E" w:rsidRPr="006B65BD" w:rsidRDefault="00BA037B" w:rsidP="006B65BD">
    <w:pPr>
      <w:pStyle w:val="Footer"/>
      <w:jc w:val="center"/>
      <w:rPr>
        <w:rFonts w:asciiTheme="minorHAnsi" w:hAnsiTheme="minorHAnsi" w:cstheme="minorHAnsi"/>
        <w:sz w:val="20"/>
        <w:szCs w:val="20"/>
      </w:rPr>
    </w:pPr>
    <w:r>
      <w:rPr>
        <w:rFonts w:asciiTheme="minorHAnsi" w:hAnsiTheme="minorHAnsi" w:cstheme="minorHAnsi"/>
        <w:sz w:val="20"/>
        <w:szCs w:val="20"/>
      </w:rPr>
      <w:t xml:space="preserve">RFA </w:t>
    </w:r>
    <w:r w:rsidR="00C37A6E" w:rsidRPr="006B65BD">
      <w:rPr>
        <w:rFonts w:asciiTheme="minorHAnsi" w:hAnsiTheme="minorHAnsi" w:cstheme="minorHAnsi"/>
        <w:sz w:val="20"/>
        <w:szCs w:val="20"/>
      </w:rPr>
      <w:t xml:space="preserve">HIV2018GF Form </w:t>
    </w:r>
    <w:r w:rsidR="00C37A6E">
      <w:rPr>
        <w:rFonts w:asciiTheme="minorHAnsi" w:hAnsiTheme="minorHAnsi" w:cstheme="minorHAnsi"/>
        <w:sz w:val="20"/>
        <w:szCs w:val="20"/>
      </w:rPr>
      <w:t>H-3</w:t>
    </w:r>
    <w:r w:rsidR="00C37A6E" w:rsidRPr="006B65BD">
      <w:rPr>
        <w:rFonts w:asciiTheme="minorHAnsi" w:hAnsiTheme="minorHAnsi" w:cstheme="minorHAnsi"/>
        <w:sz w:val="20"/>
        <w:szCs w:val="20"/>
      </w:rPr>
      <w:t xml:space="preserve"> </w:t>
    </w:r>
    <w:r w:rsidR="00C37A6E">
      <w:rPr>
        <w:rFonts w:asciiTheme="minorHAnsi" w:hAnsiTheme="minorHAnsi" w:cstheme="minorHAnsi"/>
        <w:sz w:val="20"/>
        <w:szCs w:val="20"/>
      </w:rPr>
      <w:t>–</w:t>
    </w:r>
    <w:r w:rsidR="00C37A6E" w:rsidRPr="006B65BD">
      <w:rPr>
        <w:rFonts w:asciiTheme="minorHAnsi" w:hAnsiTheme="minorHAnsi" w:cstheme="minorHAnsi"/>
        <w:sz w:val="20"/>
        <w:szCs w:val="20"/>
      </w:rPr>
      <w:t xml:space="preserve"> </w:t>
    </w:r>
    <w:r w:rsidR="00C37A6E">
      <w:rPr>
        <w:rFonts w:asciiTheme="minorHAnsi" w:hAnsiTheme="minorHAnsi" w:cstheme="minorHAnsi"/>
        <w:sz w:val="20"/>
        <w:szCs w:val="20"/>
      </w:rPr>
      <w:t>Instructions</w:t>
    </w:r>
    <w:r>
      <w:rPr>
        <w:rFonts w:asciiTheme="minorHAnsi" w:hAnsiTheme="minorHAnsi" w:cstheme="minorHAnsi"/>
        <w:sz w:val="20"/>
        <w:szCs w:val="20"/>
      </w:rPr>
      <w:t xml:space="preserve"> &amp;</w:t>
    </w:r>
    <w:r w:rsidR="00C37A6E">
      <w:rPr>
        <w:rFonts w:asciiTheme="minorHAnsi" w:hAnsiTheme="minorHAnsi" w:cstheme="minorHAnsi"/>
        <w:sz w:val="20"/>
        <w:szCs w:val="20"/>
      </w:rPr>
      <w:t xml:space="preserve"> Scope of Work</w:t>
    </w:r>
    <w:r w:rsidR="00C37A6E" w:rsidRPr="006B65BD">
      <w:rPr>
        <w:rFonts w:asciiTheme="minorHAnsi" w:hAnsiTheme="minorHAnsi" w:cstheme="minorHAnsi"/>
        <w:sz w:val="20"/>
        <w:szCs w:val="20"/>
      </w:rPr>
      <w:t xml:space="preserve"> </w:t>
    </w:r>
    <w:r w:rsidR="00C37A6E" w:rsidRPr="006B65BD">
      <w:rPr>
        <w:rFonts w:asciiTheme="minorHAnsi" w:hAnsiTheme="minorHAnsi" w:cstheme="minorHAnsi"/>
        <w:sz w:val="20"/>
        <w:szCs w:val="20"/>
      </w:rPr>
      <w:tab/>
      <w:t xml:space="preserve">Page </w:t>
    </w:r>
    <w:r w:rsidR="00C37A6E" w:rsidRPr="006B65BD">
      <w:rPr>
        <w:rFonts w:asciiTheme="minorHAnsi" w:hAnsiTheme="minorHAnsi" w:cstheme="minorHAnsi"/>
        <w:bCs/>
        <w:sz w:val="20"/>
        <w:szCs w:val="20"/>
      </w:rPr>
      <w:fldChar w:fldCharType="begin"/>
    </w:r>
    <w:r w:rsidR="00C37A6E" w:rsidRPr="006B65BD">
      <w:rPr>
        <w:rFonts w:asciiTheme="minorHAnsi" w:hAnsiTheme="minorHAnsi" w:cstheme="minorHAnsi"/>
        <w:bCs/>
        <w:sz w:val="20"/>
        <w:szCs w:val="20"/>
      </w:rPr>
      <w:instrText xml:space="preserve"> PAGE </w:instrText>
    </w:r>
    <w:r w:rsidR="00C37A6E" w:rsidRPr="006B65BD">
      <w:rPr>
        <w:rFonts w:asciiTheme="minorHAnsi" w:hAnsiTheme="minorHAnsi" w:cstheme="minorHAnsi"/>
        <w:bCs/>
        <w:sz w:val="20"/>
        <w:szCs w:val="20"/>
      </w:rPr>
      <w:fldChar w:fldCharType="separate"/>
    </w:r>
    <w:r w:rsidR="004B674F">
      <w:rPr>
        <w:rFonts w:asciiTheme="minorHAnsi" w:hAnsiTheme="minorHAnsi" w:cstheme="minorHAnsi"/>
        <w:bCs/>
        <w:noProof/>
        <w:sz w:val="20"/>
        <w:szCs w:val="20"/>
      </w:rPr>
      <w:t>2</w:t>
    </w:r>
    <w:r w:rsidR="00C37A6E" w:rsidRPr="006B65BD">
      <w:rPr>
        <w:rFonts w:asciiTheme="minorHAnsi" w:hAnsiTheme="minorHAnsi" w:cstheme="minorHAnsi"/>
        <w:bCs/>
        <w:sz w:val="20"/>
        <w:szCs w:val="20"/>
      </w:rPr>
      <w:fldChar w:fldCharType="end"/>
    </w:r>
    <w:r w:rsidR="00C37A6E" w:rsidRPr="006B65BD">
      <w:rPr>
        <w:rFonts w:asciiTheme="minorHAnsi" w:hAnsiTheme="minorHAnsi" w:cstheme="minorHAnsi"/>
        <w:sz w:val="20"/>
        <w:szCs w:val="20"/>
      </w:rPr>
      <w:t xml:space="preserve"> of </w:t>
    </w:r>
    <w:r w:rsidR="00C37A6E" w:rsidRPr="006B65BD">
      <w:rPr>
        <w:rFonts w:asciiTheme="minorHAnsi" w:hAnsiTheme="minorHAnsi" w:cstheme="minorHAnsi"/>
        <w:bCs/>
        <w:sz w:val="20"/>
        <w:szCs w:val="20"/>
      </w:rPr>
      <w:fldChar w:fldCharType="begin"/>
    </w:r>
    <w:r w:rsidR="00C37A6E" w:rsidRPr="006B65BD">
      <w:rPr>
        <w:rFonts w:asciiTheme="minorHAnsi" w:hAnsiTheme="minorHAnsi" w:cstheme="minorHAnsi"/>
        <w:bCs/>
        <w:sz w:val="20"/>
        <w:szCs w:val="20"/>
      </w:rPr>
      <w:instrText xml:space="preserve"> NUMPAGES  </w:instrText>
    </w:r>
    <w:r w:rsidR="00C37A6E" w:rsidRPr="006B65BD">
      <w:rPr>
        <w:rFonts w:asciiTheme="minorHAnsi" w:hAnsiTheme="minorHAnsi" w:cstheme="minorHAnsi"/>
        <w:bCs/>
        <w:sz w:val="20"/>
        <w:szCs w:val="20"/>
      </w:rPr>
      <w:fldChar w:fldCharType="separate"/>
    </w:r>
    <w:r w:rsidR="004B674F">
      <w:rPr>
        <w:rFonts w:asciiTheme="minorHAnsi" w:hAnsiTheme="minorHAnsi" w:cstheme="minorHAnsi"/>
        <w:bCs/>
        <w:noProof/>
        <w:sz w:val="20"/>
        <w:szCs w:val="20"/>
      </w:rPr>
      <w:t>15</w:t>
    </w:r>
    <w:r w:rsidR="00C37A6E" w:rsidRPr="006B65BD">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C550" w14:textId="77777777" w:rsidR="00B47749" w:rsidRDefault="00B47749">
      <w:pPr>
        <w:spacing w:after="0" w:line="240" w:lineRule="auto"/>
      </w:pPr>
      <w:r>
        <w:separator/>
      </w:r>
    </w:p>
  </w:footnote>
  <w:footnote w:type="continuationSeparator" w:id="0">
    <w:p w14:paraId="3FA40B38" w14:textId="77777777" w:rsidR="00B47749" w:rsidRDefault="00B4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8200" w14:textId="243A555E" w:rsidR="00C37A6E" w:rsidRPr="0042006E" w:rsidRDefault="00C37A6E" w:rsidP="006B65BD">
    <w:pPr>
      <w:spacing w:after="0" w:line="240" w:lineRule="auto"/>
      <w:ind w:left="-720"/>
      <w:jc w:val="center"/>
      <w:rPr>
        <w:rFonts w:eastAsia="Times New Roman" w:cs="Calibri"/>
        <w:b/>
        <w:sz w:val="28"/>
        <w:szCs w:val="32"/>
      </w:rPr>
    </w:pPr>
    <w:r>
      <w:rPr>
        <w:rFonts w:eastAsia="Times New Roman" w:cs="Calibri"/>
        <w:b/>
        <w:sz w:val="28"/>
        <w:szCs w:val="32"/>
      </w:rPr>
      <w:t>C</w:t>
    </w:r>
    <w:r w:rsidRPr="0042006E">
      <w:rPr>
        <w:rFonts w:eastAsia="Times New Roman" w:cs="Calibri"/>
        <w:b/>
        <w:sz w:val="28"/>
        <w:szCs w:val="32"/>
      </w:rPr>
      <w:t xml:space="preserve">ity of Austin - Austin Public Health - Solicitation </w:t>
    </w:r>
    <w:r w:rsidR="009D18A2">
      <w:rPr>
        <w:rFonts w:eastAsia="Times New Roman" w:cs="Calibri"/>
        <w:b/>
        <w:sz w:val="28"/>
        <w:szCs w:val="32"/>
      </w:rPr>
      <w:t>HIV</w:t>
    </w:r>
    <w:r w:rsidRPr="0042006E">
      <w:rPr>
        <w:rFonts w:eastAsia="Times New Roman" w:cs="Calibri"/>
        <w:b/>
        <w:sz w:val="28"/>
        <w:szCs w:val="32"/>
      </w:rPr>
      <w:t>2018GF</w:t>
    </w:r>
  </w:p>
  <w:p w14:paraId="32B6EFF3" w14:textId="767AE148" w:rsidR="00C37A6E" w:rsidRPr="00B973EF" w:rsidRDefault="00C37A6E" w:rsidP="006B65BD">
    <w:pPr>
      <w:spacing w:after="0" w:line="240" w:lineRule="auto"/>
      <w:ind w:left="-720"/>
      <w:jc w:val="center"/>
      <w:rPr>
        <w:rFonts w:eastAsia="Times New Roman" w:cs="Calibri"/>
        <w:b/>
        <w:sz w:val="28"/>
        <w:szCs w:val="32"/>
      </w:rPr>
    </w:pPr>
    <w:r>
      <w:rPr>
        <w:rFonts w:eastAsia="Times New Roman" w:cs="Calibri"/>
        <w:b/>
        <w:sz w:val="28"/>
        <w:szCs w:val="32"/>
      </w:rPr>
      <w:t>Form H-3 – Instructions</w:t>
    </w:r>
    <w:r w:rsidR="00374133">
      <w:rPr>
        <w:rFonts w:eastAsia="Times New Roman" w:cs="Calibri"/>
        <w:b/>
        <w:sz w:val="28"/>
        <w:szCs w:val="32"/>
      </w:rPr>
      <w:t xml:space="preserve"> &amp; Sc</w:t>
    </w:r>
    <w:r>
      <w:rPr>
        <w:rFonts w:eastAsia="Times New Roman" w:cs="Calibri"/>
        <w:b/>
        <w:sz w:val="28"/>
        <w:szCs w:val="32"/>
      </w:rPr>
      <w:t>ope of Work</w:t>
    </w:r>
  </w:p>
  <w:p w14:paraId="4790DDA2" w14:textId="77777777" w:rsidR="00C37A6E" w:rsidRPr="00CF1A25" w:rsidRDefault="00C37A6E" w:rsidP="00CF1A25">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24F"/>
    <w:multiLevelType w:val="hybridMultilevel"/>
    <w:tmpl w:val="EEA4C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07835"/>
    <w:multiLevelType w:val="hybridMultilevel"/>
    <w:tmpl w:val="47C81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6F2F"/>
    <w:multiLevelType w:val="hybridMultilevel"/>
    <w:tmpl w:val="3F560F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A6917"/>
    <w:multiLevelType w:val="hybridMultilevel"/>
    <w:tmpl w:val="21D0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52657"/>
    <w:multiLevelType w:val="hybridMultilevel"/>
    <w:tmpl w:val="46F6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0140D"/>
    <w:multiLevelType w:val="hybridMultilevel"/>
    <w:tmpl w:val="9FECC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B840D6"/>
    <w:multiLevelType w:val="hybridMultilevel"/>
    <w:tmpl w:val="0434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F38A9"/>
    <w:multiLevelType w:val="hybridMultilevel"/>
    <w:tmpl w:val="FB7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19A6"/>
    <w:multiLevelType w:val="hybridMultilevel"/>
    <w:tmpl w:val="3774E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5553B"/>
    <w:multiLevelType w:val="hybridMultilevel"/>
    <w:tmpl w:val="F276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63A5D"/>
    <w:multiLevelType w:val="hybridMultilevel"/>
    <w:tmpl w:val="6E9C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7100"/>
    <w:multiLevelType w:val="hybridMultilevel"/>
    <w:tmpl w:val="A9A6C0A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3074DF"/>
    <w:multiLevelType w:val="hybridMultilevel"/>
    <w:tmpl w:val="3C7C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1252A"/>
    <w:multiLevelType w:val="hybridMultilevel"/>
    <w:tmpl w:val="FF3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41B38"/>
    <w:multiLevelType w:val="hybridMultilevel"/>
    <w:tmpl w:val="E5C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B4CFE"/>
    <w:multiLevelType w:val="hybridMultilevel"/>
    <w:tmpl w:val="9080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EA11AF"/>
    <w:multiLevelType w:val="hybridMultilevel"/>
    <w:tmpl w:val="484E3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7"/>
  </w:num>
  <w:num w:numId="4">
    <w:abstractNumId w:val="4"/>
  </w:num>
  <w:num w:numId="5">
    <w:abstractNumId w:val="1"/>
  </w:num>
  <w:num w:numId="6">
    <w:abstractNumId w:val="0"/>
  </w:num>
  <w:num w:numId="7">
    <w:abstractNumId w:val="8"/>
  </w:num>
  <w:num w:numId="8">
    <w:abstractNumId w:val="5"/>
  </w:num>
  <w:num w:numId="9">
    <w:abstractNumId w:val="11"/>
  </w:num>
  <w:num w:numId="10">
    <w:abstractNumId w:val="12"/>
  </w:num>
  <w:num w:numId="11">
    <w:abstractNumId w:val="15"/>
  </w:num>
  <w:num w:numId="12">
    <w:abstractNumId w:val="9"/>
  </w:num>
  <w:num w:numId="13">
    <w:abstractNumId w:val="3"/>
  </w:num>
  <w:num w:numId="14">
    <w:abstractNumId w:val="13"/>
  </w:num>
  <w:num w:numId="15">
    <w:abstractNumId w:val="14"/>
  </w:num>
  <w:num w:numId="16">
    <w:abstractNumId w:val="1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D2"/>
    <w:rsid w:val="00023729"/>
    <w:rsid w:val="0002632F"/>
    <w:rsid w:val="00030AFC"/>
    <w:rsid w:val="00050A09"/>
    <w:rsid w:val="000532B4"/>
    <w:rsid w:val="00054679"/>
    <w:rsid w:val="00054729"/>
    <w:rsid w:val="000646FB"/>
    <w:rsid w:val="00070D82"/>
    <w:rsid w:val="00086973"/>
    <w:rsid w:val="000A2953"/>
    <w:rsid w:val="000A42D5"/>
    <w:rsid w:val="000A539A"/>
    <w:rsid w:val="000C40DB"/>
    <w:rsid w:val="000C5B54"/>
    <w:rsid w:val="000C73C4"/>
    <w:rsid w:val="000D1710"/>
    <w:rsid w:val="00111C1E"/>
    <w:rsid w:val="00112A94"/>
    <w:rsid w:val="001245BF"/>
    <w:rsid w:val="001270D8"/>
    <w:rsid w:val="00152D40"/>
    <w:rsid w:val="00165D78"/>
    <w:rsid w:val="001738E3"/>
    <w:rsid w:val="00176646"/>
    <w:rsid w:val="00184003"/>
    <w:rsid w:val="001A6435"/>
    <w:rsid w:val="001B0836"/>
    <w:rsid w:val="001C1FF5"/>
    <w:rsid w:val="001E10DD"/>
    <w:rsid w:val="001F3091"/>
    <w:rsid w:val="001F70C3"/>
    <w:rsid w:val="0020153C"/>
    <w:rsid w:val="002118E4"/>
    <w:rsid w:val="00212EF9"/>
    <w:rsid w:val="00215D78"/>
    <w:rsid w:val="00255879"/>
    <w:rsid w:val="002672DF"/>
    <w:rsid w:val="002752BA"/>
    <w:rsid w:val="00281335"/>
    <w:rsid w:val="002961EE"/>
    <w:rsid w:val="002B22CF"/>
    <w:rsid w:val="002C09E2"/>
    <w:rsid w:val="00300B71"/>
    <w:rsid w:val="00310E62"/>
    <w:rsid w:val="00312C99"/>
    <w:rsid w:val="003212A3"/>
    <w:rsid w:val="003234DB"/>
    <w:rsid w:val="003262EC"/>
    <w:rsid w:val="00347555"/>
    <w:rsid w:val="00347F5E"/>
    <w:rsid w:val="0036392A"/>
    <w:rsid w:val="00363C5A"/>
    <w:rsid w:val="0036713C"/>
    <w:rsid w:val="00374133"/>
    <w:rsid w:val="003768A0"/>
    <w:rsid w:val="0038147E"/>
    <w:rsid w:val="00387F4B"/>
    <w:rsid w:val="00394672"/>
    <w:rsid w:val="003B3130"/>
    <w:rsid w:val="003B583B"/>
    <w:rsid w:val="003B6484"/>
    <w:rsid w:val="003D0094"/>
    <w:rsid w:val="003D0EC1"/>
    <w:rsid w:val="003D60E6"/>
    <w:rsid w:val="004038D2"/>
    <w:rsid w:val="00421B91"/>
    <w:rsid w:val="00433DB0"/>
    <w:rsid w:val="004354D6"/>
    <w:rsid w:val="00435B40"/>
    <w:rsid w:val="00442D78"/>
    <w:rsid w:val="00443CB4"/>
    <w:rsid w:val="00456FD8"/>
    <w:rsid w:val="0045739C"/>
    <w:rsid w:val="0048232F"/>
    <w:rsid w:val="0048520D"/>
    <w:rsid w:val="00487B37"/>
    <w:rsid w:val="00493046"/>
    <w:rsid w:val="004B674F"/>
    <w:rsid w:val="004D540D"/>
    <w:rsid w:val="004D614A"/>
    <w:rsid w:val="004F6C4D"/>
    <w:rsid w:val="005010CC"/>
    <w:rsid w:val="00522C7D"/>
    <w:rsid w:val="005458D1"/>
    <w:rsid w:val="005517FC"/>
    <w:rsid w:val="00556672"/>
    <w:rsid w:val="005607E6"/>
    <w:rsid w:val="00565747"/>
    <w:rsid w:val="00565FF8"/>
    <w:rsid w:val="005729A4"/>
    <w:rsid w:val="005879DE"/>
    <w:rsid w:val="005A29FB"/>
    <w:rsid w:val="005A6F38"/>
    <w:rsid w:val="005E27C7"/>
    <w:rsid w:val="005E3524"/>
    <w:rsid w:val="005E7BF6"/>
    <w:rsid w:val="00604BB2"/>
    <w:rsid w:val="0061799B"/>
    <w:rsid w:val="00634E34"/>
    <w:rsid w:val="006359DC"/>
    <w:rsid w:val="00646198"/>
    <w:rsid w:val="00663EC1"/>
    <w:rsid w:val="00663EDC"/>
    <w:rsid w:val="00665350"/>
    <w:rsid w:val="00680D35"/>
    <w:rsid w:val="00681FBF"/>
    <w:rsid w:val="00692031"/>
    <w:rsid w:val="006962DD"/>
    <w:rsid w:val="006B65BD"/>
    <w:rsid w:val="006C4153"/>
    <w:rsid w:val="006C7947"/>
    <w:rsid w:val="006D04B1"/>
    <w:rsid w:val="00713397"/>
    <w:rsid w:val="007148CD"/>
    <w:rsid w:val="00721503"/>
    <w:rsid w:val="0072295E"/>
    <w:rsid w:val="00730340"/>
    <w:rsid w:val="00730B76"/>
    <w:rsid w:val="00744D9C"/>
    <w:rsid w:val="00745152"/>
    <w:rsid w:val="0076618C"/>
    <w:rsid w:val="00767401"/>
    <w:rsid w:val="007A392A"/>
    <w:rsid w:val="007A582E"/>
    <w:rsid w:val="007B0995"/>
    <w:rsid w:val="007B7384"/>
    <w:rsid w:val="007D3532"/>
    <w:rsid w:val="007E1F74"/>
    <w:rsid w:val="007F5D13"/>
    <w:rsid w:val="007F6E48"/>
    <w:rsid w:val="00803017"/>
    <w:rsid w:val="0081112D"/>
    <w:rsid w:val="00814068"/>
    <w:rsid w:val="008148CA"/>
    <w:rsid w:val="0081683B"/>
    <w:rsid w:val="00830544"/>
    <w:rsid w:val="00835F6F"/>
    <w:rsid w:val="00850F9F"/>
    <w:rsid w:val="00862942"/>
    <w:rsid w:val="008674AC"/>
    <w:rsid w:val="008676B4"/>
    <w:rsid w:val="00881465"/>
    <w:rsid w:val="0088380B"/>
    <w:rsid w:val="008873AD"/>
    <w:rsid w:val="00887B77"/>
    <w:rsid w:val="008A45C7"/>
    <w:rsid w:val="008B08E0"/>
    <w:rsid w:val="008D35C0"/>
    <w:rsid w:val="008E5A78"/>
    <w:rsid w:val="00917483"/>
    <w:rsid w:val="009225A7"/>
    <w:rsid w:val="009235FD"/>
    <w:rsid w:val="009273D6"/>
    <w:rsid w:val="0094194D"/>
    <w:rsid w:val="00953306"/>
    <w:rsid w:val="0097784C"/>
    <w:rsid w:val="00977E4E"/>
    <w:rsid w:val="00986045"/>
    <w:rsid w:val="0099250F"/>
    <w:rsid w:val="00992A5F"/>
    <w:rsid w:val="009B46B6"/>
    <w:rsid w:val="009C2863"/>
    <w:rsid w:val="009C5A02"/>
    <w:rsid w:val="009C5EBF"/>
    <w:rsid w:val="009D18A2"/>
    <w:rsid w:val="009D1BBE"/>
    <w:rsid w:val="009D532D"/>
    <w:rsid w:val="00A0414B"/>
    <w:rsid w:val="00A25597"/>
    <w:rsid w:val="00A32683"/>
    <w:rsid w:val="00A40DFA"/>
    <w:rsid w:val="00A42710"/>
    <w:rsid w:val="00A45765"/>
    <w:rsid w:val="00A502DA"/>
    <w:rsid w:val="00A52FD0"/>
    <w:rsid w:val="00A53B3E"/>
    <w:rsid w:val="00A64E56"/>
    <w:rsid w:val="00A65436"/>
    <w:rsid w:val="00A95BE8"/>
    <w:rsid w:val="00AB17FA"/>
    <w:rsid w:val="00AE208C"/>
    <w:rsid w:val="00AE4875"/>
    <w:rsid w:val="00AE68C5"/>
    <w:rsid w:val="00AF242C"/>
    <w:rsid w:val="00B02742"/>
    <w:rsid w:val="00B043AD"/>
    <w:rsid w:val="00B046D1"/>
    <w:rsid w:val="00B35F11"/>
    <w:rsid w:val="00B47749"/>
    <w:rsid w:val="00B52586"/>
    <w:rsid w:val="00B61438"/>
    <w:rsid w:val="00B62AC2"/>
    <w:rsid w:val="00B66BE3"/>
    <w:rsid w:val="00B835B5"/>
    <w:rsid w:val="00B900A0"/>
    <w:rsid w:val="00B91E00"/>
    <w:rsid w:val="00B927BE"/>
    <w:rsid w:val="00BA037B"/>
    <w:rsid w:val="00BB1EDB"/>
    <w:rsid w:val="00BB4313"/>
    <w:rsid w:val="00BC599D"/>
    <w:rsid w:val="00BF69CE"/>
    <w:rsid w:val="00C01F60"/>
    <w:rsid w:val="00C37A6E"/>
    <w:rsid w:val="00C42B34"/>
    <w:rsid w:val="00C524A0"/>
    <w:rsid w:val="00C80844"/>
    <w:rsid w:val="00C94573"/>
    <w:rsid w:val="00C94CF9"/>
    <w:rsid w:val="00CB5E34"/>
    <w:rsid w:val="00CB6DA4"/>
    <w:rsid w:val="00CC3A93"/>
    <w:rsid w:val="00CE43B1"/>
    <w:rsid w:val="00CE4564"/>
    <w:rsid w:val="00CE50E8"/>
    <w:rsid w:val="00CF1A25"/>
    <w:rsid w:val="00D05D17"/>
    <w:rsid w:val="00D143A4"/>
    <w:rsid w:val="00D15AC0"/>
    <w:rsid w:val="00D20679"/>
    <w:rsid w:val="00D427F0"/>
    <w:rsid w:val="00D4564F"/>
    <w:rsid w:val="00D46C40"/>
    <w:rsid w:val="00D47FB0"/>
    <w:rsid w:val="00D53E59"/>
    <w:rsid w:val="00D7630D"/>
    <w:rsid w:val="00D83C41"/>
    <w:rsid w:val="00D9257D"/>
    <w:rsid w:val="00DA05A8"/>
    <w:rsid w:val="00DA2F86"/>
    <w:rsid w:val="00DA72F8"/>
    <w:rsid w:val="00DB1FC8"/>
    <w:rsid w:val="00DB4C38"/>
    <w:rsid w:val="00DB5F68"/>
    <w:rsid w:val="00DC42FF"/>
    <w:rsid w:val="00DC6BC2"/>
    <w:rsid w:val="00DD0B9F"/>
    <w:rsid w:val="00DD2C39"/>
    <w:rsid w:val="00DE25B5"/>
    <w:rsid w:val="00DE34CA"/>
    <w:rsid w:val="00DE5B38"/>
    <w:rsid w:val="00E03038"/>
    <w:rsid w:val="00E03331"/>
    <w:rsid w:val="00E05AF9"/>
    <w:rsid w:val="00E13089"/>
    <w:rsid w:val="00E23708"/>
    <w:rsid w:val="00E25FC3"/>
    <w:rsid w:val="00E27BA4"/>
    <w:rsid w:val="00E27FD6"/>
    <w:rsid w:val="00E3350A"/>
    <w:rsid w:val="00E4150D"/>
    <w:rsid w:val="00E63502"/>
    <w:rsid w:val="00E64B78"/>
    <w:rsid w:val="00E775B2"/>
    <w:rsid w:val="00E97D2A"/>
    <w:rsid w:val="00EE1EAE"/>
    <w:rsid w:val="00EF1157"/>
    <w:rsid w:val="00F01358"/>
    <w:rsid w:val="00F06742"/>
    <w:rsid w:val="00F305DF"/>
    <w:rsid w:val="00F62E23"/>
    <w:rsid w:val="00F76D7D"/>
    <w:rsid w:val="00F90061"/>
    <w:rsid w:val="00FA1387"/>
    <w:rsid w:val="00FA7CAC"/>
    <w:rsid w:val="00FB7F5B"/>
    <w:rsid w:val="00FE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A7B8"/>
  <w15:chartTrackingRefBased/>
  <w15:docId w15:val="{F0DB13DA-3F8D-411A-A748-6099535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8D2"/>
    <w:pPr>
      <w:tabs>
        <w:tab w:val="center" w:pos="4680"/>
        <w:tab w:val="right" w:pos="9360"/>
      </w:tabs>
      <w:spacing w:after="0" w:line="240" w:lineRule="auto"/>
    </w:pPr>
  </w:style>
  <w:style w:type="character" w:customStyle="1" w:styleId="HeaderChar">
    <w:name w:val="Header Char"/>
    <w:link w:val="Header"/>
    <w:uiPriority w:val="99"/>
    <w:rsid w:val="004038D2"/>
    <w:rPr>
      <w:sz w:val="22"/>
      <w:szCs w:val="22"/>
    </w:rPr>
  </w:style>
  <w:style w:type="paragraph" w:styleId="Footer">
    <w:name w:val="footer"/>
    <w:basedOn w:val="Normal"/>
    <w:link w:val="FooterChar"/>
    <w:uiPriority w:val="99"/>
    <w:unhideWhenUsed/>
    <w:rsid w:val="004038D2"/>
    <w:pPr>
      <w:tabs>
        <w:tab w:val="center" w:pos="4680"/>
        <w:tab w:val="right" w:pos="9360"/>
      </w:tabs>
      <w:spacing w:after="0" w:line="240" w:lineRule="auto"/>
    </w:pPr>
  </w:style>
  <w:style w:type="character" w:customStyle="1" w:styleId="FooterChar">
    <w:name w:val="Footer Char"/>
    <w:link w:val="Footer"/>
    <w:uiPriority w:val="99"/>
    <w:rsid w:val="004038D2"/>
    <w:rPr>
      <w:sz w:val="22"/>
      <w:szCs w:val="22"/>
    </w:rPr>
  </w:style>
  <w:style w:type="paragraph" w:styleId="ListParagraph">
    <w:name w:val="List Paragraph"/>
    <w:basedOn w:val="Normal"/>
    <w:uiPriority w:val="34"/>
    <w:qFormat/>
    <w:rsid w:val="004038D2"/>
    <w:pPr>
      <w:ind w:left="720"/>
      <w:contextualSpacing/>
    </w:pPr>
  </w:style>
  <w:style w:type="character" w:styleId="Hyperlink">
    <w:name w:val="Hyperlink"/>
    <w:uiPriority w:val="99"/>
    <w:unhideWhenUsed/>
    <w:rsid w:val="004038D2"/>
    <w:rPr>
      <w:color w:val="0000FF"/>
      <w:u w:val="single"/>
    </w:rPr>
  </w:style>
  <w:style w:type="character" w:styleId="FollowedHyperlink">
    <w:name w:val="FollowedHyperlink"/>
    <w:uiPriority w:val="99"/>
    <w:semiHidden/>
    <w:unhideWhenUsed/>
    <w:rsid w:val="004038D2"/>
    <w:rPr>
      <w:color w:val="954F72"/>
      <w:u w:val="single"/>
    </w:rPr>
  </w:style>
  <w:style w:type="table" w:styleId="TableGrid">
    <w:name w:val="Table Grid"/>
    <w:basedOn w:val="TableNormal"/>
    <w:uiPriority w:val="39"/>
    <w:rsid w:val="00403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8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8D2"/>
    <w:rPr>
      <w:rFonts w:ascii="Segoe UI" w:hAnsi="Segoe UI" w:cs="Segoe UI"/>
      <w:sz w:val="18"/>
      <w:szCs w:val="18"/>
    </w:rPr>
  </w:style>
  <w:style w:type="paragraph" w:styleId="NoSpacing">
    <w:name w:val="No Spacing"/>
    <w:uiPriority w:val="1"/>
    <w:qFormat/>
    <w:rsid w:val="004038D2"/>
    <w:rPr>
      <w:sz w:val="22"/>
      <w:szCs w:val="22"/>
    </w:rPr>
  </w:style>
  <w:style w:type="character" w:styleId="CommentReference">
    <w:name w:val="annotation reference"/>
    <w:uiPriority w:val="99"/>
    <w:semiHidden/>
    <w:unhideWhenUsed/>
    <w:rsid w:val="004038D2"/>
    <w:rPr>
      <w:sz w:val="16"/>
      <w:szCs w:val="16"/>
    </w:rPr>
  </w:style>
  <w:style w:type="paragraph" w:styleId="CommentText">
    <w:name w:val="annotation text"/>
    <w:basedOn w:val="Normal"/>
    <w:link w:val="CommentTextChar"/>
    <w:uiPriority w:val="99"/>
    <w:semiHidden/>
    <w:unhideWhenUsed/>
    <w:rsid w:val="004038D2"/>
    <w:pPr>
      <w:spacing w:line="240" w:lineRule="auto"/>
    </w:pPr>
    <w:rPr>
      <w:sz w:val="20"/>
      <w:szCs w:val="20"/>
    </w:rPr>
  </w:style>
  <w:style w:type="character" w:customStyle="1" w:styleId="CommentTextChar">
    <w:name w:val="Comment Text Char"/>
    <w:basedOn w:val="DefaultParagraphFont"/>
    <w:link w:val="CommentText"/>
    <w:uiPriority w:val="99"/>
    <w:semiHidden/>
    <w:rsid w:val="004038D2"/>
  </w:style>
  <w:style w:type="paragraph" w:styleId="CommentSubject">
    <w:name w:val="annotation subject"/>
    <w:basedOn w:val="CommentText"/>
    <w:next w:val="CommentText"/>
    <w:link w:val="CommentSubjectChar"/>
    <w:uiPriority w:val="99"/>
    <w:semiHidden/>
    <w:unhideWhenUsed/>
    <w:rsid w:val="004038D2"/>
    <w:rPr>
      <w:b/>
      <w:bCs/>
    </w:rPr>
  </w:style>
  <w:style w:type="character" w:customStyle="1" w:styleId="CommentSubjectChar">
    <w:name w:val="Comment Subject Char"/>
    <w:link w:val="CommentSubject"/>
    <w:uiPriority w:val="99"/>
    <w:semiHidden/>
    <w:rsid w:val="004038D2"/>
    <w:rPr>
      <w:b/>
      <w:bCs/>
    </w:rPr>
  </w:style>
  <w:style w:type="character" w:customStyle="1" w:styleId="UnresolvedMention1">
    <w:name w:val="Unresolved Mention1"/>
    <w:uiPriority w:val="99"/>
    <w:semiHidden/>
    <w:unhideWhenUsed/>
    <w:rsid w:val="0048232F"/>
    <w:rPr>
      <w:color w:val="808080"/>
      <w:shd w:val="clear" w:color="auto" w:fill="E6E6E6"/>
    </w:rPr>
  </w:style>
  <w:style w:type="character" w:customStyle="1" w:styleId="UnresolvedMention">
    <w:name w:val="Unresolved Mention"/>
    <w:basedOn w:val="DefaultParagraphFont"/>
    <w:uiPriority w:val="99"/>
    <w:semiHidden/>
    <w:unhideWhenUsed/>
    <w:rsid w:val="00E05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hrsa.gov/sites/default/files/hab/program-grants-management/ServiceCategoryPCN_16-02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ets.austintexas.gov///webiacpfullreduc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intexas.gov/financeonline/vendor_connection/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pac.org/cities/" TargetMode="External"/><Relationship Id="rId4" Type="http://schemas.openxmlformats.org/officeDocument/2006/relationships/settings" Target="settings.xml"/><Relationship Id="rId9" Type="http://schemas.openxmlformats.org/officeDocument/2006/relationships/hyperlink" Target="http://www.unaids.org/sites/default/files/sub_landing/files/JC2034_UNAIDS_Strategy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2A20-98B1-401E-9484-FEC968FB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4649</Words>
  <Characters>26505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Links>
    <vt:vector size="30" baseType="variant">
      <vt:variant>
        <vt:i4>7405626</vt:i4>
      </vt:variant>
      <vt:variant>
        <vt:i4>27</vt:i4>
      </vt:variant>
      <vt:variant>
        <vt:i4>0</vt:i4>
      </vt:variant>
      <vt:variant>
        <vt:i4>5</vt:i4>
      </vt:variant>
      <vt:variant>
        <vt:lpwstr>http://minorityhealth.hhs.gov/templates/browse.aspx?lvl=2&amp;lvlID=15</vt:lpwstr>
      </vt:variant>
      <vt:variant>
        <vt:lpwstr/>
      </vt:variant>
      <vt:variant>
        <vt:i4>2752544</vt:i4>
      </vt:variant>
      <vt:variant>
        <vt:i4>24</vt:i4>
      </vt:variant>
      <vt:variant>
        <vt:i4>0</vt:i4>
      </vt:variant>
      <vt:variant>
        <vt:i4>5</vt:i4>
      </vt:variant>
      <vt:variant>
        <vt:lpwstr>http://cahpp.org/wp-content/uploads/2015/04/intervention-manual.pdf</vt:lpwstr>
      </vt:variant>
      <vt:variant>
        <vt:lpwstr/>
      </vt:variant>
      <vt:variant>
        <vt:i4>7340081</vt:i4>
      </vt:variant>
      <vt:variant>
        <vt:i4>21</vt:i4>
      </vt:variant>
      <vt:variant>
        <vt:i4>0</vt:i4>
      </vt:variant>
      <vt:variant>
        <vt:i4>5</vt:i4>
      </vt:variant>
      <vt:variant>
        <vt:lpwstr>http://cahpp.org/wp-content/uploads/2017/06/Operation-Link-PPHD.pdf</vt:lpwstr>
      </vt:variant>
      <vt:variant>
        <vt:lpwstr/>
      </vt:variant>
      <vt:variant>
        <vt:i4>655439</vt:i4>
      </vt:variant>
      <vt:variant>
        <vt:i4>18</vt:i4>
      </vt:variant>
      <vt:variant>
        <vt:i4>0</vt:i4>
      </vt:variant>
      <vt:variant>
        <vt:i4>5</vt:i4>
      </vt:variant>
      <vt:variant>
        <vt:lpwstr>http://cahpp.org/wp-content/uploads/2017/06/HHR-prism-health.pdf</vt:lpwstr>
      </vt:variant>
      <vt:variant>
        <vt:lpwstr/>
      </vt:variant>
      <vt:variant>
        <vt:i4>2359368</vt:i4>
      </vt:variant>
      <vt:variant>
        <vt:i4>0</vt:i4>
      </vt:variant>
      <vt:variant>
        <vt:i4>0</vt:i4>
      </vt:variant>
      <vt:variant>
        <vt:i4>5</vt:i4>
      </vt:variant>
      <vt:variant>
        <vt:lpwstr>https://hab.hrsa.gov/sites/default/files/hab/program-grants-management/ServiceCategoryPCN_16-02Final.pdf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dc:creator>
  <cp:keywords/>
  <dc:description/>
  <cp:lastModifiedBy>Cox, Linda</cp:lastModifiedBy>
  <cp:revision>2</cp:revision>
  <cp:lastPrinted>2018-07-31T18:58:00Z</cp:lastPrinted>
  <dcterms:created xsi:type="dcterms:W3CDTF">2018-08-01T18:26:00Z</dcterms:created>
  <dcterms:modified xsi:type="dcterms:W3CDTF">2018-08-01T18:26:00Z</dcterms:modified>
</cp:coreProperties>
</file>