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671AE" w14:textId="71B6E04A" w:rsidR="0002423A" w:rsidRPr="00E64010" w:rsidRDefault="00C83A1A">
      <w:pPr>
        <w:rPr>
          <w:lang w:val="es-US"/>
        </w:rPr>
      </w:pPr>
      <w:r w:rsidRPr="00E64010">
        <w:rPr>
          <w:noProof/>
          <w:lang w:val="es-US"/>
        </w:rPr>
        <mc:AlternateContent>
          <mc:Choice Requires="wps">
            <w:drawing>
              <wp:anchor distT="0" distB="0" distL="114300" distR="114300" simplePos="0" relativeHeight="251658241" behindDoc="1" locked="0" layoutInCell="1" allowOverlap="1" wp14:anchorId="6F315CE0" wp14:editId="50729A70">
                <wp:simplePos x="0" y="0"/>
                <wp:positionH relativeFrom="margin">
                  <wp:posOffset>5420029</wp:posOffset>
                </wp:positionH>
                <wp:positionV relativeFrom="page">
                  <wp:posOffset>182245</wp:posOffset>
                </wp:positionV>
                <wp:extent cx="594360" cy="987552"/>
                <wp:effectExtent l="0" t="0" r="0" b="5080"/>
                <wp:wrapNone/>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fullDate="2021-01-01T00:00:00Z">
                                <w:dateFormat w:val="yyyy"/>
                                <w:lid w:val="en-US"/>
                                <w:storeMappedDataAs w:val="dateTime"/>
                                <w:calendar w:val="gregorian"/>
                              </w:date>
                            </w:sdtPr>
                            <w:sdtEndPr/>
                            <w:sdtContent>
                              <w:p w14:paraId="46DFF915" w14:textId="6A361518" w:rsidR="00C83A1A" w:rsidRDefault="00E348EA" w:rsidP="00C83A1A">
                                <w:pPr>
                                  <w:pStyle w:val="NoSpacing"/>
                                  <w:jc w:val="right"/>
                                  <w:rPr>
                                    <w:color w:val="FFFFFF" w:themeColor="background1"/>
                                    <w:sz w:val="24"/>
                                    <w:szCs w:val="24"/>
                                  </w:rPr>
                                </w:pPr>
                                <w:r>
                                  <w:rPr>
                                    <w:color w:val="FFFFFF" w:themeColor="background1"/>
                                    <w:sz w:val="24"/>
                                    <w:szCs w:val="24"/>
                                    <w:lang w:val="es"/>
                                  </w:rPr>
                                  <w:t>2021</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6F315CE0" id="Rectangle 132" o:spid="_x0000_s1026" style="position:absolute;margin-left:426.75pt;margin-top:14.35pt;width:46.8pt;height:77.75pt;z-index:-251658239;visibility:visible;mso-wrap-style:square;mso-width-percent:76;mso-height-percent:98;mso-wrap-distance-left:9pt;mso-wrap-distance-top:0;mso-wrap-distance-right:9pt;mso-wrap-distance-bottom:0;mso-position-horizontal:absolute;mso-position-horizontal-relative:margin;mso-position-vertical:absolute;mso-position-vertical-relative:page;mso-width-percent:76;mso-height-percent:9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" fillcolor="#4472c4 [3204]" stroked="f" strokeweight="1pt">
                <o:lock v:ext="edit" aspectratio="t"/>
                <v:textbox inset="3.6pt,,3.6pt">
                  <w:txbxContent>
                    <w:sdt>
                      <w:sdtPr>
                        <w:rPr>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fullDate="2021-01-01T00:00:00Z">
                          <w:dateFormat w:val="yyyy"/>
                          <w:lid w:val="en-US"/>
                          <w:storeMappedDataAs w:val="dateTime"/>
                          <w:calendar w:val="gregorian"/>
                        </w:date>
                      </w:sdtPr>
                      <w:sdtEndPr/>
                      <w:sdtContent>
                        <w:p w14:paraId="46DFF915" w14:textId="6A361518" w:rsidR="00C83A1A" w:rsidRDefault="00E348EA" w:rsidP="00C83A1A">
                          <w:pPr>
                            <w:pStyle w:val="NoSpacing"/>
                            <w:jc w:val="right"/>
                            <w:rPr>
                              <w:color w:val="FFFFFF" w:themeColor="background1"/>
                              <w:sz w:val="24"/>
                              <w:szCs w:val="24"/>
                            </w:rPr>
                            <w:bidi w:val="0"/>
                          </w:pPr>
                          <w:r>
                            <w:rPr>
                              <w:color w:val="FFFFFF" w:themeColor="background1"/>
                              <w:sz w:val="24"/>
                              <w:szCs w:val="24"/>
                              <w:lang w:val="es"/>
                              <w:b w:val="0"/>
                              <w:bCs w:val="0"/>
                              <w:i w:val="0"/>
                              <w:iCs w:val="0"/>
                              <w:u w:val="none"/>
                              <w:vertAlign w:val="baseline"/>
                              <w:rtl w:val="0"/>
                            </w:rPr>
                            <w:t xml:space="preserve">2021</w:t>
                          </w:r>
                        </w:p>
                      </w:sdtContent>
                    </w:sdt>
                  </w:txbxContent>
                </v:textbox>
                <w10:wrap anchorx="margin" anchory="page"/>
              </v:rect>
            </w:pict>
          </mc:Fallback>
        </mc:AlternateContent>
      </w:r>
    </w:p>
    <w:p w14:paraId="4821065C" w14:textId="77777777" w:rsidR="0002423A" w:rsidRPr="00E64010" w:rsidRDefault="0002423A">
      <w:pPr>
        <w:rPr>
          <w:lang w:val="es-US"/>
        </w:rPr>
      </w:pPr>
    </w:p>
    <w:p w14:paraId="636EDEBD" w14:textId="644B3503" w:rsidR="0002423A" w:rsidRPr="00E64010" w:rsidRDefault="0002423A">
      <w:pPr>
        <w:rPr>
          <w:lang w:val="es-US"/>
        </w:rPr>
      </w:pPr>
    </w:p>
    <w:p w14:paraId="23C307D9" w14:textId="510F3A8D" w:rsidR="0002423A" w:rsidRPr="00E64010" w:rsidRDefault="0002423A">
      <w:pPr>
        <w:rPr>
          <w:lang w:val="es-US"/>
        </w:rPr>
      </w:pPr>
    </w:p>
    <w:p w14:paraId="7A71FBBF" w14:textId="343DA5E8" w:rsidR="0002423A" w:rsidRPr="00E64010" w:rsidRDefault="0002423A">
      <w:pPr>
        <w:rPr>
          <w:lang w:val="es-US"/>
        </w:rPr>
      </w:pPr>
      <w:r w:rsidRPr="00E64010">
        <w:rPr>
          <w:noProof/>
          <w:lang w:val="es-US"/>
        </w:rPr>
        <mc:AlternateContent>
          <mc:Choice Requires="wps">
            <w:drawing>
              <wp:anchor distT="0" distB="0" distL="182880" distR="182880" simplePos="0" relativeHeight="251658240" behindDoc="0" locked="0" layoutInCell="1" allowOverlap="1" wp14:anchorId="69491570" wp14:editId="1EB024D9">
                <wp:simplePos x="0" y="0"/>
                <wp:positionH relativeFrom="margin">
                  <wp:posOffset>438150</wp:posOffset>
                </wp:positionH>
                <wp:positionV relativeFrom="page">
                  <wp:posOffset>2286000</wp:posOffset>
                </wp:positionV>
                <wp:extent cx="4991100" cy="6720840"/>
                <wp:effectExtent l="0" t="0" r="0" b="8890"/>
                <wp:wrapSquare wrapText="bothSides"/>
                <wp:docPr id="131" name="Text Box 131"/>
                <wp:cNvGraphicFramePr/>
                <a:graphic xmlns:a="http://schemas.openxmlformats.org/drawingml/2006/main">
                  <a:graphicData uri="http://schemas.microsoft.com/office/word/2010/wordprocessingShape">
                    <wps:wsp>
                      <wps:cNvSpPr txBox="1"/>
                      <wps:spPr>
                        <a:xfrm>
                          <a:off x="0" y="0"/>
                          <a:ext cx="49911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C1AD54" w14:textId="1D880E78" w:rsidR="00652672" w:rsidRPr="00E64010" w:rsidRDefault="00FC7EAD" w:rsidP="00652672">
                            <w:pPr>
                              <w:pStyle w:val="NoSpacing"/>
                              <w:spacing w:before="40" w:after="560" w:line="216" w:lineRule="auto"/>
                              <w:rPr>
                                <w:color w:val="4472C4" w:themeColor="accent1"/>
                                <w:sz w:val="72"/>
                                <w:szCs w:val="72"/>
                                <w:lang w:val="es-US"/>
                              </w:rPr>
                            </w:pPr>
                            <w:sdt>
                              <w:sdtPr>
                                <w:rPr>
                                  <w:color w:val="4472C4" w:themeColor="accent1"/>
                                  <w:sz w:val="72"/>
                                  <w:szCs w:val="72"/>
                                  <w:lang w:val="es-US"/>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E64010">
                                  <w:rPr>
                                    <w:color w:val="4472C4" w:themeColor="accent1"/>
                                    <w:sz w:val="72"/>
                                    <w:szCs w:val="72"/>
                                    <w:lang w:val="es-US"/>
                                  </w:rPr>
                                  <w:t>Suplemento del p</w:t>
                                </w:r>
                                <w:r w:rsidR="00E64010" w:rsidRPr="00E64010">
                                  <w:rPr>
                                    <w:color w:val="4472C4" w:themeColor="accent1"/>
                                    <w:sz w:val="72"/>
                                    <w:szCs w:val="72"/>
                                    <w:lang w:val="es-US"/>
                                  </w:rPr>
                                  <w:t>lan de distribución de vacunas contra el COVID-19 del área capital</w:t>
                                </w:r>
                              </w:sdtContent>
                            </w:sdt>
                          </w:p>
                          <w:sdt>
                            <w:sdtPr>
                              <w:rPr>
                                <w:rFonts w:cstheme="minorHAnsi"/>
                                <w:caps/>
                                <w:color w:val="1F4E79" w:themeColor="accent5" w:themeShade="80"/>
                                <w:sz w:val="28"/>
                                <w:szCs w:val="28"/>
                                <w:lang w:val="es-US"/>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4225E750" w14:textId="579561AD" w:rsidR="00652672" w:rsidRPr="00E64010" w:rsidRDefault="00E64010" w:rsidP="0002423A">
                                <w:pPr>
                                  <w:pStyle w:val="NoSpacing"/>
                                  <w:spacing w:before="40" w:after="40"/>
                                  <w:rPr>
                                    <w:rFonts w:cstheme="minorHAnsi"/>
                                    <w:caps/>
                                    <w:color w:val="1F4E79" w:themeColor="accent5" w:themeShade="80"/>
                                    <w:sz w:val="28"/>
                                    <w:szCs w:val="28"/>
                                    <w:lang w:val="es-US"/>
                                  </w:rPr>
                                </w:pPr>
                                <w:r w:rsidRPr="00E64010">
                                  <w:rPr>
                                    <w:rFonts w:cstheme="minorHAnsi"/>
                                    <w:caps/>
                                    <w:color w:val="1F4E79" w:themeColor="accent5" w:themeShade="80"/>
                                    <w:sz w:val="28"/>
                                    <w:szCs w:val="28"/>
                                    <w:lang w:val="es-US"/>
                                  </w:rPr>
                                  <w:t>CREADO POR SALUD PÚBLICA DE AUSTIN/AUSTIN PUBLIC HEALTH</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w:pict>
              <v:shapetype w14:anchorId="69491570" id="_x0000_t202" coordsize="21600,21600" o:spt="202" path="m,l,21600r21600,l21600,xe">
                <v:stroke joinstyle="miter"/>
                <v:path gradientshapeok="t" o:connecttype="rect"/>
              </v:shapetype>
              <v:shape id="Text Box 131" o:spid="_x0000_s1027" type="#_x0000_t202" style="position:absolute;margin-left:34.5pt;margin-top:180pt;width:393pt;height:529.2pt;z-index:251658240;visibility:visible;mso-wrap-style:square;mso-width-percent:0;mso-height-percent:350;mso-wrap-distance-left:14.4pt;mso-wrap-distance-top:0;mso-wrap-distance-right:14.4pt;mso-wrap-distance-bottom:0;mso-position-horizontal:absolute;mso-position-horizontal-relative:margin;mso-position-vertical:absolute;mso-position-vertical-relative:page;mso-width-percent: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" filled="f" stroked="f" strokeweight=".5pt">
                <v:textbox style="mso-fit-shape-to-text:t" inset="0,0,0,0">
                  <w:txbxContent>
                    <w:p w14:paraId="7CC1AD54" w14:textId="1D880E78" w:rsidR="00652672" w:rsidRPr="00E64010" w:rsidRDefault="00A65DC3" w:rsidP="00652672">
                      <w:pPr>
                        <w:pStyle w:val="NoSpacing"/>
                        <w:spacing w:before="40" w:after="560" w:line="216" w:lineRule="auto"/>
                        <w:rPr>
                          <w:color w:val="4472C4" w:themeColor="accent1"/>
                          <w:sz w:val="72"/>
                          <w:szCs w:val="72"/>
                          <w:lang w:val="es-US"/>
                        </w:rPr>
                      </w:pPr>
                      <w:sdt>
                        <w:sdtPr>
                          <w:rPr>
                            <w:color w:val="4472C4" w:themeColor="accent1"/>
                            <w:sz w:val="72"/>
                            <w:szCs w:val="72"/>
                            <w:lang w:val="es-US"/>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E64010">
                            <w:rPr>
                              <w:color w:val="4472C4" w:themeColor="accent1"/>
                              <w:sz w:val="72"/>
                              <w:szCs w:val="72"/>
                              <w:lang w:val="es-US"/>
                            </w:rPr>
                            <w:t>Suplemento del p</w:t>
                          </w:r>
                          <w:r w:rsidR="00E64010" w:rsidRPr="00E64010">
                            <w:rPr>
                              <w:color w:val="4472C4" w:themeColor="accent1"/>
                              <w:sz w:val="72"/>
                              <w:szCs w:val="72"/>
                              <w:lang w:val="es-US"/>
                            </w:rPr>
                            <w:t>lan de distribución de vacunas contra el COVID-19 del área capital</w:t>
                          </w:r>
                        </w:sdtContent>
                      </w:sdt>
                    </w:p>
                    <w:sdt>
                      <w:sdtPr>
                        <w:rPr>
                          <w:rFonts w:cstheme="minorHAnsi"/>
                          <w:caps/>
                          <w:color w:val="1F4E79" w:themeColor="accent5" w:themeShade="80"/>
                          <w:sz w:val="28"/>
                          <w:szCs w:val="28"/>
                          <w:lang w:val="es-US"/>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4225E750" w14:textId="579561AD" w:rsidR="00652672" w:rsidRPr="00E64010" w:rsidRDefault="00E64010" w:rsidP="0002423A">
                          <w:pPr>
                            <w:pStyle w:val="NoSpacing"/>
                            <w:spacing w:before="40" w:after="40"/>
                            <w:rPr>
                              <w:rFonts w:cstheme="minorHAnsi"/>
                              <w:caps/>
                              <w:color w:val="1F4E79" w:themeColor="accent5" w:themeShade="80"/>
                              <w:sz w:val="28"/>
                              <w:szCs w:val="28"/>
                              <w:lang w:val="es-US"/>
                            </w:rPr>
                          </w:pPr>
                          <w:r w:rsidRPr="00E64010">
                            <w:rPr>
                              <w:rFonts w:cstheme="minorHAnsi"/>
                              <w:caps/>
                              <w:color w:val="1F4E79" w:themeColor="accent5" w:themeShade="80"/>
                              <w:sz w:val="28"/>
                              <w:szCs w:val="28"/>
                              <w:lang w:val="es-US"/>
                            </w:rPr>
                            <w:t xml:space="preserve">CREADO POR SALUD PÚBLICA DE AUSTIN/AUSTIN </w:t>
                          </w:r>
                          <w:proofErr w:type="spellStart"/>
                          <w:r w:rsidRPr="00E64010">
                            <w:rPr>
                              <w:rFonts w:cstheme="minorHAnsi"/>
                              <w:caps/>
                              <w:color w:val="1F4E79" w:themeColor="accent5" w:themeShade="80"/>
                              <w:sz w:val="28"/>
                              <w:szCs w:val="28"/>
                              <w:lang w:val="es-US"/>
                            </w:rPr>
                            <w:t>PUBLIC</w:t>
                          </w:r>
                          <w:proofErr w:type="spellEnd"/>
                          <w:r w:rsidRPr="00E64010">
                            <w:rPr>
                              <w:rFonts w:cstheme="minorHAnsi"/>
                              <w:caps/>
                              <w:color w:val="1F4E79" w:themeColor="accent5" w:themeShade="80"/>
                              <w:sz w:val="28"/>
                              <w:szCs w:val="28"/>
                              <w:lang w:val="es-US"/>
                            </w:rPr>
                            <w:t xml:space="preserve"> </w:t>
                          </w:r>
                          <w:proofErr w:type="spellStart"/>
                          <w:r w:rsidRPr="00E64010">
                            <w:rPr>
                              <w:rFonts w:cstheme="minorHAnsi"/>
                              <w:caps/>
                              <w:color w:val="1F4E79" w:themeColor="accent5" w:themeShade="80"/>
                              <w:sz w:val="28"/>
                              <w:szCs w:val="28"/>
                              <w:lang w:val="es-US"/>
                            </w:rPr>
                            <w:t>HEALTH</w:t>
                          </w:r>
                          <w:proofErr w:type="spellEnd"/>
                        </w:p>
                      </w:sdtContent>
                    </w:sdt>
                  </w:txbxContent>
                </v:textbox>
                <w10:wrap type="square" anchorx="margin" anchory="page"/>
              </v:shape>
            </w:pict>
          </mc:Fallback>
        </mc:AlternateContent>
      </w:r>
    </w:p>
    <w:p w14:paraId="4CE41147" w14:textId="77777777" w:rsidR="0002423A" w:rsidRPr="00E64010" w:rsidRDefault="0002423A">
      <w:pPr>
        <w:rPr>
          <w:lang w:val="es-US"/>
        </w:rPr>
      </w:pPr>
    </w:p>
    <w:p w14:paraId="5F3B6A9D" w14:textId="77777777" w:rsidR="0002423A" w:rsidRPr="00E64010" w:rsidRDefault="0002423A">
      <w:pPr>
        <w:rPr>
          <w:lang w:val="es-US"/>
        </w:rPr>
      </w:pPr>
    </w:p>
    <w:p w14:paraId="1B02A9B5" w14:textId="77777777" w:rsidR="0002423A" w:rsidRPr="00E64010" w:rsidRDefault="0002423A">
      <w:pPr>
        <w:rPr>
          <w:lang w:val="es-US"/>
        </w:rPr>
      </w:pPr>
    </w:p>
    <w:p w14:paraId="26B20A7A" w14:textId="77777777" w:rsidR="0002423A" w:rsidRPr="00E64010" w:rsidRDefault="0002423A">
      <w:pPr>
        <w:rPr>
          <w:lang w:val="es-US"/>
        </w:rPr>
      </w:pPr>
    </w:p>
    <w:p w14:paraId="58F1403C" w14:textId="77777777" w:rsidR="0002423A" w:rsidRPr="00E64010" w:rsidRDefault="0002423A">
      <w:pPr>
        <w:rPr>
          <w:lang w:val="es-US"/>
        </w:rPr>
      </w:pPr>
    </w:p>
    <w:p w14:paraId="64EE1440" w14:textId="77777777" w:rsidR="0002423A" w:rsidRPr="00E64010" w:rsidRDefault="0002423A">
      <w:pPr>
        <w:rPr>
          <w:lang w:val="es-US"/>
        </w:rPr>
      </w:pPr>
    </w:p>
    <w:p w14:paraId="3ADF34CA" w14:textId="77777777" w:rsidR="0002423A" w:rsidRPr="00E64010" w:rsidRDefault="0002423A">
      <w:pPr>
        <w:rPr>
          <w:lang w:val="es-US"/>
        </w:rPr>
      </w:pPr>
    </w:p>
    <w:p w14:paraId="2E8798AF" w14:textId="77777777" w:rsidR="0002423A" w:rsidRPr="00E64010" w:rsidRDefault="0002423A">
      <w:pPr>
        <w:rPr>
          <w:lang w:val="es-US"/>
        </w:rPr>
      </w:pPr>
    </w:p>
    <w:p w14:paraId="4D50FB66" w14:textId="77777777" w:rsidR="0002423A" w:rsidRPr="00E64010" w:rsidRDefault="0002423A">
      <w:pPr>
        <w:rPr>
          <w:lang w:val="es-US"/>
        </w:rPr>
      </w:pPr>
    </w:p>
    <w:p w14:paraId="669F159C" w14:textId="77777777" w:rsidR="0002423A" w:rsidRPr="00E64010" w:rsidRDefault="0002423A">
      <w:pPr>
        <w:rPr>
          <w:lang w:val="es-US"/>
        </w:rPr>
      </w:pPr>
    </w:p>
    <w:p w14:paraId="0959563D" w14:textId="77777777" w:rsidR="0002423A" w:rsidRPr="00E64010" w:rsidRDefault="0002423A">
      <w:pPr>
        <w:rPr>
          <w:lang w:val="es-US"/>
        </w:rPr>
      </w:pPr>
    </w:p>
    <w:p w14:paraId="259E0DAC" w14:textId="77777777" w:rsidR="0002423A" w:rsidRPr="00E64010" w:rsidRDefault="0002423A">
      <w:pPr>
        <w:rPr>
          <w:lang w:val="es-US"/>
        </w:rPr>
      </w:pPr>
    </w:p>
    <w:p w14:paraId="1F47DA30" w14:textId="77777777" w:rsidR="0002423A" w:rsidRPr="00E64010" w:rsidRDefault="0002423A">
      <w:pPr>
        <w:rPr>
          <w:lang w:val="es-US"/>
        </w:rPr>
      </w:pPr>
    </w:p>
    <w:p w14:paraId="2B1BACF3" w14:textId="77777777" w:rsidR="0002423A" w:rsidRPr="00E64010" w:rsidRDefault="0002423A">
      <w:pPr>
        <w:rPr>
          <w:lang w:val="es-US"/>
        </w:rPr>
      </w:pPr>
    </w:p>
    <w:p w14:paraId="66E1CF46" w14:textId="77777777" w:rsidR="0002423A" w:rsidRPr="00E64010" w:rsidRDefault="0002423A">
      <w:pPr>
        <w:rPr>
          <w:lang w:val="es-US"/>
        </w:rPr>
      </w:pPr>
    </w:p>
    <w:p w14:paraId="5CDB8E36" w14:textId="6DDB6697" w:rsidR="0002423A" w:rsidRPr="00E64010" w:rsidRDefault="0002423A">
      <w:pPr>
        <w:rPr>
          <w:lang w:val="es-US"/>
        </w:rPr>
      </w:pPr>
    </w:p>
    <w:p w14:paraId="14FBAC37" w14:textId="160A691D" w:rsidR="0002423A" w:rsidRPr="00E64010" w:rsidRDefault="0002423A">
      <w:pPr>
        <w:rPr>
          <w:lang w:val="es-US"/>
        </w:rPr>
      </w:pPr>
    </w:p>
    <w:p w14:paraId="286F3AAE" w14:textId="4E2AE114" w:rsidR="0002423A" w:rsidRPr="00E64010" w:rsidRDefault="0002423A">
      <w:pPr>
        <w:rPr>
          <w:lang w:val="es-US"/>
        </w:rPr>
      </w:pPr>
    </w:p>
    <w:p w14:paraId="5E099B20" w14:textId="3190F2D1" w:rsidR="0002423A" w:rsidRPr="00E64010" w:rsidRDefault="0002423A" w:rsidP="00857D99">
      <w:pPr>
        <w:jc w:val="right"/>
        <w:rPr>
          <w:lang w:val="es-US"/>
        </w:rPr>
      </w:pPr>
    </w:p>
    <w:p w14:paraId="20C00DC0" w14:textId="02DC3FB8" w:rsidR="0002423A" w:rsidRPr="00E64010" w:rsidRDefault="0002423A">
      <w:pPr>
        <w:rPr>
          <w:lang w:val="es-US"/>
        </w:rPr>
      </w:pPr>
    </w:p>
    <w:p w14:paraId="56851576" w14:textId="4A9542BC" w:rsidR="0002423A" w:rsidRPr="00E64010" w:rsidRDefault="0002423A">
      <w:pPr>
        <w:rPr>
          <w:lang w:val="es-US"/>
        </w:rPr>
      </w:pPr>
    </w:p>
    <w:p w14:paraId="5B2E023C" w14:textId="0F188CC5" w:rsidR="0002423A" w:rsidRPr="00E64010" w:rsidRDefault="0002423A">
      <w:pPr>
        <w:rPr>
          <w:lang w:val="es-US"/>
        </w:rPr>
      </w:pPr>
    </w:p>
    <w:p w14:paraId="3BDD144B" w14:textId="2B6059F6" w:rsidR="0002423A" w:rsidRPr="00E64010" w:rsidRDefault="0002423A" w:rsidP="00DE5C4E">
      <w:pPr>
        <w:jc w:val="center"/>
        <w:rPr>
          <w:lang w:val="es-US"/>
        </w:rPr>
      </w:pPr>
    </w:p>
    <w:sdt>
      <w:sdtPr>
        <w:rPr>
          <w:rFonts w:asciiTheme="minorHAnsi" w:eastAsiaTheme="minorHAnsi" w:hAnsiTheme="minorHAnsi" w:cstheme="minorBidi"/>
          <w:b w:val="0"/>
          <w:color w:val="auto"/>
          <w:sz w:val="22"/>
          <w:szCs w:val="22"/>
          <w:lang w:val="es-US"/>
        </w:rPr>
        <w:id w:val="-2055837430"/>
        <w:docPartObj>
          <w:docPartGallery w:val="Table of Contents"/>
          <w:docPartUnique/>
        </w:docPartObj>
      </w:sdtPr>
      <w:sdtEndPr>
        <w:rPr>
          <w:bCs/>
          <w:noProof/>
        </w:rPr>
      </w:sdtEndPr>
      <w:sdtContent>
        <w:p w14:paraId="52BB5B43" w14:textId="77777777" w:rsidR="0021431C" w:rsidRPr="00E64010" w:rsidRDefault="0021431C" w:rsidP="0021431C">
          <w:pPr>
            <w:pStyle w:val="TOCHeading"/>
            <w:rPr>
              <w:lang w:val="es-US"/>
            </w:rPr>
          </w:pPr>
          <w:r w:rsidRPr="00E64010">
            <w:rPr>
              <w:bCs/>
              <w:lang w:val="es-US"/>
            </w:rPr>
            <w:t>Índice</w:t>
          </w:r>
        </w:p>
        <w:p w14:paraId="6BBC2772" w14:textId="29423F4F" w:rsidR="006425AE" w:rsidRPr="00E64010" w:rsidRDefault="0021431C">
          <w:pPr>
            <w:pStyle w:val="TOC1"/>
            <w:rPr>
              <w:rFonts w:eastAsiaTheme="minorEastAsia"/>
              <w:noProof/>
              <w:lang w:val="es-US"/>
            </w:rPr>
          </w:pPr>
          <w:r w:rsidRPr="00E64010">
            <w:rPr>
              <w:lang w:val="es-US"/>
            </w:rPr>
            <w:fldChar w:fldCharType="begin"/>
          </w:r>
          <w:r w:rsidRPr="00E64010">
            <w:rPr>
              <w:lang w:val="es-US"/>
            </w:rPr>
            <w:instrText xml:space="preserve"> TOC \o "1-3" \h \z \u </w:instrText>
          </w:r>
          <w:r w:rsidRPr="00E64010">
            <w:rPr>
              <w:lang w:val="es-US"/>
            </w:rPr>
            <w:fldChar w:fldCharType="separate"/>
          </w:r>
          <w:hyperlink w:anchor="_Toc83281161" w:history="1">
            <w:r w:rsidRPr="00E64010">
              <w:rPr>
                <w:rStyle w:val="Hyperlink"/>
                <w:noProof/>
                <w:lang w:val="es-US"/>
              </w:rPr>
              <w:t>R</w:t>
            </w:r>
            <w:r w:rsidR="00E64010" w:rsidRPr="00E64010">
              <w:rPr>
                <w:rStyle w:val="Hyperlink"/>
                <w:noProof/>
                <w:lang w:val="es-US"/>
              </w:rPr>
              <w:t xml:space="preserve">esgistro de cambios </w:t>
            </w:r>
            <w:r w:rsidRPr="00E64010">
              <w:rPr>
                <w:noProof/>
                <w:webHidden/>
                <w:lang w:val="es-US"/>
              </w:rPr>
              <w:tab/>
            </w:r>
            <w:r w:rsidRPr="00E64010">
              <w:rPr>
                <w:noProof/>
                <w:webHidden/>
                <w:lang w:val="es-US"/>
              </w:rPr>
              <w:fldChar w:fldCharType="begin"/>
            </w:r>
            <w:r w:rsidRPr="00E64010">
              <w:rPr>
                <w:noProof/>
                <w:webHidden/>
                <w:lang w:val="es-US"/>
              </w:rPr>
              <w:instrText xml:space="preserve"> PAGEREF _Toc83281161 \h </w:instrText>
            </w:r>
            <w:r w:rsidRPr="00E64010">
              <w:rPr>
                <w:noProof/>
                <w:webHidden/>
                <w:lang w:val="es-US"/>
              </w:rPr>
            </w:r>
            <w:r w:rsidRPr="00E64010">
              <w:rPr>
                <w:noProof/>
                <w:webHidden/>
                <w:lang w:val="es-US"/>
              </w:rPr>
              <w:fldChar w:fldCharType="separate"/>
            </w:r>
            <w:r w:rsidRPr="00E64010">
              <w:rPr>
                <w:noProof/>
                <w:webHidden/>
                <w:lang w:val="es-US"/>
              </w:rPr>
              <w:t>2</w:t>
            </w:r>
            <w:r w:rsidRPr="00E64010">
              <w:rPr>
                <w:noProof/>
                <w:webHidden/>
                <w:lang w:val="es-US"/>
              </w:rPr>
              <w:fldChar w:fldCharType="end"/>
            </w:r>
          </w:hyperlink>
        </w:p>
        <w:p w14:paraId="2C42257E" w14:textId="775EBEDF" w:rsidR="006425AE" w:rsidRPr="00E64010" w:rsidRDefault="00FC7EAD">
          <w:pPr>
            <w:pStyle w:val="TOC1"/>
            <w:rPr>
              <w:rFonts w:eastAsiaTheme="minorEastAsia"/>
              <w:noProof/>
              <w:lang w:val="es-US"/>
            </w:rPr>
          </w:pPr>
          <w:hyperlink w:anchor="_Toc83281162" w:history="1">
            <w:r w:rsidR="00E64010" w:rsidRPr="00E64010">
              <w:rPr>
                <w:rStyle w:val="Hyperlink"/>
                <w:noProof/>
                <w:lang w:val="es-US"/>
              </w:rPr>
              <w:t>Resumen ejecutivo</w:t>
            </w:r>
            <w:r w:rsidR="00FD6A19" w:rsidRPr="00E64010">
              <w:rPr>
                <w:noProof/>
                <w:webHidden/>
                <w:lang w:val="es-US"/>
              </w:rPr>
              <w:tab/>
            </w:r>
            <w:r w:rsidR="00FD6A19" w:rsidRPr="00E64010">
              <w:rPr>
                <w:noProof/>
                <w:webHidden/>
                <w:lang w:val="es-US"/>
              </w:rPr>
              <w:fldChar w:fldCharType="begin"/>
            </w:r>
            <w:r w:rsidR="00FD6A19" w:rsidRPr="00E64010">
              <w:rPr>
                <w:noProof/>
                <w:webHidden/>
                <w:lang w:val="es-US"/>
              </w:rPr>
              <w:instrText xml:space="preserve"> PAGEREF _Toc83281162 \h </w:instrText>
            </w:r>
            <w:r w:rsidR="00FD6A19" w:rsidRPr="00E64010">
              <w:rPr>
                <w:noProof/>
                <w:webHidden/>
                <w:lang w:val="es-US"/>
              </w:rPr>
            </w:r>
            <w:r w:rsidR="00FD6A19" w:rsidRPr="00E64010">
              <w:rPr>
                <w:noProof/>
                <w:webHidden/>
                <w:lang w:val="es-US"/>
              </w:rPr>
              <w:fldChar w:fldCharType="separate"/>
            </w:r>
            <w:r w:rsidR="00FD6A19" w:rsidRPr="00E64010">
              <w:rPr>
                <w:noProof/>
                <w:webHidden/>
                <w:lang w:val="es-US"/>
              </w:rPr>
              <w:t>3</w:t>
            </w:r>
            <w:r w:rsidR="00FD6A19" w:rsidRPr="00E64010">
              <w:rPr>
                <w:noProof/>
                <w:webHidden/>
                <w:lang w:val="es-US"/>
              </w:rPr>
              <w:fldChar w:fldCharType="end"/>
            </w:r>
          </w:hyperlink>
        </w:p>
        <w:p w14:paraId="00A52DF7" w14:textId="0E70F014" w:rsidR="006425AE" w:rsidRPr="00E64010" w:rsidRDefault="00FC7EAD">
          <w:pPr>
            <w:pStyle w:val="TOC1"/>
            <w:rPr>
              <w:rFonts w:eastAsiaTheme="minorEastAsia"/>
              <w:noProof/>
              <w:lang w:val="es-US"/>
            </w:rPr>
          </w:pPr>
          <w:hyperlink w:anchor="_Toc83281163" w:history="1">
            <w:r w:rsidR="00FD6A19" w:rsidRPr="00E64010">
              <w:rPr>
                <w:rStyle w:val="Hyperlink"/>
                <w:noProof/>
                <w:lang w:val="es-US"/>
              </w:rPr>
              <w:t>Sec</w:t>
            </w:r>
            <w:r w:rsidR="00E64010" w:rsidRPr="00E64010">
              <w:rPr>
                <w:rStyle w:val="Hyperlink"/>
                <w:noProof/>
                <w:lang w:val="es-US"/>
              </w:rPr>
              <w:t>ción 1: Campaña de educación y alcance comunitario del Programa de Vacunación contra el COVID-19</w:t>
            </w:r>
            <w:r w:rsidR="00FD6A19" w:rsidRPr="00E64010">
              <w:rPr>
                <w:noProof/>
                <w:webHidden/>
                <w:lang w:val="es-US"/>
              </w:rPr>
              <w:tab/>
            </w:r>
            <w:r w:rsidR="00FD6A19" w:rsidRPr="00E64010">
              <w:rPr>
                <w:noProof/>
                <w:webHidden/>
                <w:lang w:val="es-US"/>
              </w:rPr>
              <w:fldChar w:fldCharType="begin"/>
            </w:r>
            <w:r w:rsidR="00FD6A19" w:rsidRPr="00E64010">
              <w:rPr>
                <w:noProof/>
                <w:webHidden/>
                <w:lang w:val="es-US"/>
              </w:rPr>
              <w:instrText xml:space="preserve"> PAGEREF _Toc83281163 \h </w:instrText>
            </w:r>
            <w:r w:rsidR="00FD6A19" w:rsidRPr="00E64010">
              <w:rPr>
                <w:noProof/>
                <w:webHidden/>
                <w:lang w:val="es-US"/>
              </w:rPr>
            </w:r>
            <w:r w:rsidR="00FD6A19" w:rsidRPr="00E64010">
              <w:rPr>
                <w:noProof/>
                <w:webHidden/>
                <w:lang w:val="es-US"/>
              </w:rPr>
              <w:fldChar w:fldCharType="separate"/>
            </w:r>
            <w:r w:rsidR="00FD6A19" w:rsidRPr="00E64010">
              <w:rPr>
                <w:noProof/>
                <w:webHidden/>
                <w:lang w:val="es-US"/>
              </w:rPr>
              <w:t>4</w:t>
            </w:r>
            <w:r w:rsidR="00FD6A19" w:rsidRPr="00E64010">
              <w:rPr>
                <w:noProof/>
                <w:webHidden/>
                <w:lang w:val="es-US"/>
              </w:rPr>
              <w:fldChar w:fldCharType="end"/>
            </w:r>
          </w:hyperlink>
        </w:p>
        <w:p w14:paraId="5BE11261" w14:textId="2006F3B3" w:rsidR="006425AE" w:rsidRPr="00E64010" w:rsidRDefault="00FC7EAD">
          <w:pPr>
            <w:pStyle w:val="TOC1"/>
            <w:rPr>
              <w:rFonts w:eastAsiaTheme="minorEastAsia"/>
              <w:noProof/>
              <w:lang w:val="es-US"/>
            </w:rPr>
          </w:pPr>
          <w:hyperlink w:anchor="_Toc83281164" w:history="1">
            <w:r w:rsidR="00FD6A19" w:rsidRPr="00E64010">
              <w:rPr>
                <w:rStyle w:val="Hyperlink"/>
                <w:noProof/>
                <w:lang w:val="es-US"/>
              </w:rPr>
              <w:t>Sec</w:t>
            </w:r>
            <w:r w:rsidR="00E64010" w:rsidRPr="00E64010">
              <w:rPr>
                <w:rStyle w:val="Hyperlink"/>
                <w:noProof/>
                <w:lang w:val="es-US"/>
              </w:rPr>
              <w:t>ción 2: Administración, programación y recordatorios para la tercera dosis de la vacuna contra el COVID-19</w:t>
            </w:r>
            <w:r w:rsidR="00FD6A19" w:rsidRPr="00E64010">
              <w:rPr>
                <w:noProof/>
                <w:webHidden/>
                <w:lang w:val="es-US"/>
              </w:rPr>
              <w:tab/>
            </w:r>
            <w:r w:rsidR="00FD6A19" w:rsidRPr="00E64010">
              <w:rPr>
                <w:noProof/>
                <w:webHidden/>
                <w:lang w:val="es-US"/>
              </w:rPr>
              <w:fldChar w:fldCharType="begin"/>
            </w:r>
            <w:r w:rsidR="00FD6A19" w:rsidRPr="00E64010">
              <w:rPr>
                <w:noProof/>
                <w:webHidden/>
                <w:lang w:val="es-US"/>
              </w:rPr>
              <w:instrText xml:space="preserve"> PAGEREF _Toc83281164 \h </w:instrText>
            </w:r>
            <w:r w:rsidR="00FD6A19" w:rsidRPr="00E64010">
              <w:rPr>
                <w:noProof/>
                <w:webHidden/>
                <w:lang w:val="es-US"/>
              </w:rPr>
            </w:r>
            <w:r w:rsidR="00FD6A19" w:rsidRPr="00E64010">
              <w:rPr>
                <w:noProof/>
                <w:webHidden/>
                <w:lang w:val="es-US"/>
              </w:rPr>
              <w:fldChar w:fldCharType="separate"/>
            </w:r>
            <w:r w:rsidR="00FD6A19" w:rsidRPr="00E64010">
              <w:rPr>
                <w:noProof/>
                <w:webHidden/>
                <w:lang w:val="es-US"/>
              </w:rPr>
              <w:t>6</w:t>
            </w:r>
            <w:r w:rsidR="00FD6A19" w:rsidRPr="00E64010">
              <w:rPr>
                <w:noProof/>
                <w:webHidden/>
                <w:lang w:val="es-US"/>
              </w:rPr>
              <w:fldChar w:fldCharType="end"/>
            </w:r>
          </w:hyperlink>
        </w:p>
        <w:p w14:paraId="648AEF2D" w14:textId="437D23F7" w:rsidR="006425AE" w:rsidRPr="00E64010" w:rsidRDefault="00FC7EAD">
          <w:pPr>
            <w:pStyle w:val="TOC1"/>
            <w:rPr>
              <w:rFonts w:eastAsiaTheme="minorEastAsia"/>
              <w:noProof/>
              <w:lang w:val="es-US"/>
            </w:rPr>
          </w:pPr>
          <w:hyperlink w:anchor="_Toc83281165" w:history="1">
            <w:r w:rsidR="00FD6A19" w:rsidRPr="00E64010">
              <w:rPr>
                <w:rStyle w:val="Hyperlink"/>
                <w:noProof/>
                <w:lang w:val="es-US"/>
              </w:rPr>
              <w:t>Sec</w:t>
            </w:r>
            <w:r w:rsidR="00E64010" w:rsidRPr="00E64010">
              <w:rPr>
                <w:rStyle w:val="Hyperlink"/>
                <w:noProof/>
                <w:lang w:val="es-US"/>
              </w:rPr>
              <w:t>ción 3: Vacunación contra el COVID-19 para pacientes pediátricos</w:t>
            </w:r>
            <w:r w:rsidR="00FD6A19" w:rsidRPr="00E64010">
              <w:rPr>
                <w:noProof/>
                <w:webHidden/>
                <w:lang w:val="es-US"/>
              </w:rPr>
              <w:tab/>
            </w:r>
            <w:r w:rsidR="00FD6A19" w:rsidRPr="00E64010">
              <w:rPr>
                <w:noProof/>
                <w:webHidden/>
                <w:lang w:val="es-US"/>
              </w:rPr>
              <w:fldChar w:fldCharType="begin"/>
            </w:r>
            <w:r w:rsidR="00FD6A19" w:rsidRPr="00E64010">
              <w:rPr>
                <w:noProof/>
                <w:webHidden/>
                <w:lang w:val="es-US"/>
              </w:rPr>
              <w:instrText xml:space="preserve"> PAGEREF _Toc83281165 \h </w:instrText>
            </w:r>
            <w:r w:rsidR="00FD6A19" w:rsidRPr="00E64010">
              <w:rPr>
                <w:noProof/>
                <w:webHidden/>
                <w:lang w:val="es-US"/>
              </w:rPr>
            </w:r>
            <w:r w:rsidR="00FD6A19" w:rsidRPr="00E64010">
              <w:rPr>
                <w:noProof/>
                <w:webHidden/>
                <w:lang w:val="es-US"/>
              </w:rPr>
              <w:fldChar w:fldCharType="separate"/>
            </w:r>
            <w:r w:rsidR="00FD6A19" w:rsidRPr="00E64010">
              <w:rPr>
                <w:noProof/>
                <w:webHidden/>
                <w:lang w:val="es-US"/>
              </w:rPr>
              <w:t>9</w:t>
            </w:r>
            <w:r w:rsidR="00FD6A19" w:rsidRPr="00E64010">
              <w:rPr>
                <w:noProof/>
                <w:webHidden/>
                <w:lang w:val="es-US"/>
              </w:rPr>
              <w:fldChar w:fldCharType="end"/>
            </w:r>
          </w:hyperlink>
        </w:p>
        <w:p w14:paraId="693505AE" w14:textId="410671C8" w:rsidR="0021431C" w:rsidRPr="00E64010" w:rsidRDefault="0021431C" w:rsidP="0021431C">
          <w:pPr>
            <w:rPr>
              <w:bCs/>
              <w:noProof/>
              <w:lang w:val="es-US"/>
            </w:rPr>
          </w:pPr>
          <w:r w:rsidRPr="00E64010">
            <w:rPr>
              <w:b/>
              <w:lang w:val="es-US"/>
            </w:rPr>
            <w:fldChar w:fldCharType="end"/>
          </w:r>
        </w:p>
      </w:sdtContent>
    </w:sdt>
    <w:p w14:paraId="2A680E9B" w14:textId="69FE46BC" w:rsidR="0042423D" w:rsidRPr="00E64010" w:rsidRDefault="0042423D">
      <w:pPr>
        <w:rPr>
          <w:lang w:val="es-US"/>
        </w:rPr>
      </w:pPr>
    </w:p>
    <w:p w14:paraId="217A4037" w14:textId="2A4FAF04" w:rsidR="0002423A" w:rsidRPr="00E64010" w:rsidRDefault="0042423D">
      <w:pPr>
        <w:rPr>
          <w:lang w:val="es-US"/>
        </w:rPr>
      </w:pPr>
      <w:r w:rsidRPr="00E64010">
        <w:rPr>
          <w:lang w:val="es-US"/>
        </w:rPr>
        <w:br w:type="page"/>
      </w:r>
    </w:p>
    <w:p w14:paraId="1CA617D3" w14:textId="77777777" w:rsidR="003C1B5F" w:rsidRPr="00E64010" w:rsidRDefault="003C1B5F" w:rsidP="003C1B5F">
      <w:pPr>
        <w:pStyle w:val="Heading1"/>
        <w:rPr>
          <w:lang w:val="es-US"/>
        </w:rPr>
      </w:pPr>
      <w:bookmarkStart w:id="0" w:name="_Toc83281161"/>
      <w:r w:rsidRPr="00E64010">
        <w:rPr>
          <w:bCs/>
          <w:lang w:val="es-US"/>
        </w:rPr>
        <w:lastRenderedPageBreak/>
        <w:t>Registro de cambios</w:t>
      </w:r>
      <w:bookmarkEnd w:id="0"/>
    </w:p>
    <w:tbl>
      <w:tblPr>
        <w:tblpPr w:leftFromText="180" w:rightFromText="180" w:horzAnchor="margin" w:tblpXSpec="center" w:tblpY="689"/>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2"/>
        <w:gridCol w:w="4430"/>
        <w:gridCol w:w="2340"/>
        <w:gridCol w:w="2083"/>
      </w:tblGrid>
      <w:tr w:rsidR="00E27CC9" w:rsidRPr="00E64010" w14:paraId="34516D08" w14:textId="77777777" w:rsidTr="006425AE">
        <w:tc>
          <w:tcPr>
            <w:tcW w:w="1312" w:type="dxa"/>
            <w:shd w:val="clear" w:color="auto" w:fill="323E4F" w:themeFill="text2" w:themeFillShade="BF"/>
          </w:tcPr>
          <w:p w14:paraId="4457C9B0" w14:textId="77777777" w:rsidR="00E27CC9" w:rsidRPr="00E64010" w:rsidRDefault="00E27CC9" w:rsidP="00E53CB1">
            <w:pPr>
              <w:jc w:val="center"/>
              <w:rPr>
                <w:rFonts w:cs="Arial"/>
                <w:b/>
                <w:color w:val="FFFFFF"/>
                <w:lang w:val="es-US"/>
              </w:rPr>
            </w:pPr>
            <w:r w:rsidRPr="00E64010">
              <w:rPr>
                <w:rFonts w:cs="Arial"/>
                <w:b/>
                <w:bCs/>
                <w:color w:val="FFFFFF"/>
                <w:lang w:val="es-US"/>
              </w:rPr>
              <w:t>Número de versión</w:t>
            </w:r>
          </w:p>
        </w:tc>
        <w:tc>
          <w:tcPr>
            <w:tcW w:w="4430" w:type="dxa"/>
            <w:shd w:val="clear" w:color="auto" w:fill="323E4F" w:themeFill="text2" w:themeFillShade="BF"/>
          </w:tcPr>
          <w:p w14:paraId="76E14080" w14:textId="77777777" w:rsidR="00E27CC9" w:rsidRPr="00E64010" w:rsidRDefault="00E27CC9" w:rsidP="00E53CB1">
            <w:pPr>
              <w:jc w:val="center"/>
              <w:rPr>
                <w:rFonts w:cs="Arial"/>
                <w:b/>
                <w:color w:val="FFFFFF"/>
                <w:lang w:val="es-US"/>
              </w:rPr>
            </w:pPr>
            <w:r w:rsidRPr="00E64010">
              <w:rPr>
                <w:rFonts w:cs="Arial"/>
                <w:b/>
                <w:bCs/>
                <w:color w:val="FFFFFF"/>
                <w:lang w:val="es-US"/>
              </w:rPr>
              <w:t>Descripción del cambio</w:t>
            </w:r>
          </w:p>
        </w:tc>
        <w:tc>
          <w:tcPr>
            <w:tcW w:w="2340" w:type="dxa"/>
            <w:shd w:val="clear" w:color="auto" w:fill="323E4F" w:themeFill="text2" w:themeFillShade="BF"/>
          </w:tcPr>
          <w:p w14:paraId="3A745561" w14:textId="77777777" w:rsidR="00E27CC9" w:rsidRPr="00E64010" w:rsidRDefault="00E27CC9" w:rsidP="00E53CB1">
            <w:pPr>
              <w:jc w:val="center"/>
              <w:rPr>
                <w:rFonts w:cs="Arial"/>
                <w:b/>
                <w:color w:val="FFFFFF"/>
                <w:lang w:val="es-US"/>
              </w:rPr>
            </w:pPr>
            <w:r w:rsidRPr="00E64010">
              <w:rPr>
                <w:rFonts w:cs="Arial"/>
                <w:b/>
                <w:bCs/>
                <w:color w:val="FFFFFF"/>
                <w:lang w:val="es-US"/>
              </w:rPr>
              <w:t>Persona responsable</w:t>
            </w:r>
          </w:p>
        </w:tc>
        <w:tc>
          <w:tcPr>
            <w:tcW w:w="2083" w:type="dxa"/>
            <w:shd w:val="clear" w:color="auto" w:fill="323E4F" w:themeFill="text2" w:themeFillShade="BF"/>
          </w:tcPr>
          <w:p w14:paraId="1BFC2CDA" w14:textId="77777777" w:rsidR="00E27CC9" w:rsidRPr="00E64010" w:rsidRDefault="00E27CC9" w:rsidP="00E53CB1">
            <w:pPr>
              <w:jc w:val="center"/>
              <w:rPr>
                <w:rFonts w:cs="Arial"/>
                <w:b/>
                <w:color w:val="FFFFFF"/>
                <w:lang w:val="es-US"/>
              </w:rPr>
            </w:pPr>
            <w:r w:rsidRPr="00E64010">
              <w:rPr>
                <w:rFonts w:cs="Arial"/>
                <w:b/>
                <w:bCs/>
                <w:color w:val="FFFFFF"/>
                <w:lang w:val="es-US"/>
              </w:rPr>
              <w:t xml:space="preserve">Fecha </w:t>
            </w:r>
          </w:p>
        </w:tc>
      </w:tr>
      <w:tr w:rsidR="00E27CC9" w:rsidRPr="00E64010" w14:paraId="22093E52" w14:textId="77777777" w:rsidTr="006425AE">
        <w:tc>
          <w:tcPr>
            <w:tcW w:w="1312" w:type="dxa"/>
            <w:shd w:val="clear" w:color="auto" w:fill="auto"/>
          </w:tcPr>
          <w:p w14:paraId="32D08A79" w14:textId="77777777" w:rsidR="00E27CC9" w:rsidRPr="00E64010" w:rsidRDefault="00E27CC9" w:rsidP="00E53CB1">
            <w:pPr>
              <w:jc w:val="center"/>
              <w:rPr>
                <w:rFonts w:cs="Arial"/>
                <w:lang w:val="es-US"/>
              </w:rPr>
            </w:pPr>
            <w:r w:rsidRPr="00E64010">
              <w:rPr>
                <w:rFonts w:cs="Arial"/>
                <w:lang w:val="es-US"/>
              </w:rPr>
              <w:t>1.0</w:t>
            </w:r>
          </w:p>
        </w:tc>
        <w:tc>
          <w:tcPr>
            <w:tcW w:w="4430" w:type="dxa"/>
            <w:shd w:val="clear" w:color="auto" w:fill="auto"/>
          </w:tcPr>
          <w:p w14:paraId="055D1123" w14:textId="0EE65644" w:rsidR="00E27CC9" w:rsidRPr="00E64010" w:rsidRDefault="00E27CC9" w:rsidP="00E53CB1">
            <w:pPr>
              <w:pStyle w:val="PlainText"/>
              <w:rPr>
                <w:rFonts w:ascii="Arial" w:hAnsi="Arial" w:cs="Arial"/>
                <w:lang w:val="es-US"/>
              </w:rPr>
            </w:pPr>
            <w:r w:rsidRPr="00E64010">
              <w:rPr>
                <w:rFonts w:ascii="Arial" w:hAnsi="Arial" w:cs="Arial"/>
                <w:lang w:val="es-US"/>
              </w:rPr>
              <w:t>Suplemento de la creación de la estrategia</w:t>
            </w:r>
          </w:p>
        </w:tc>
        <w:tc>
          <w:tcPr>
            <w:tcW w:w="2340" w:type="dxa"/>
          </w:tcPr>
          <w:p w14:paraId="5E6722A3" w14:textId="77777777" w:rsidR="00E27CC9" w:rsidRPr="00E64010" w:rsidRDefault="00E27CC9" w:rsidP="00E53CB1">
            <w:pPr>
              <w:rPr>
                <w:rFonts w:cs="Arial"/>
                <w:lang w:val="es-US"/>
              </w:rPr>
            </w:pPr>
            <w:r w:rsidRPr="00E64010">
              <w:rPr>
                <w:rFonts w:cs="Arial"/>
                <w:lang w:val="es-US"/>
              </w:rPr>
              <w:t>Salud Pública de Austin</w:t>
            </w:r>
          </w:p>
        </w:tc>
        <w:tc>
          <w:tcPr>
            <w:tcW w:w="2083" w:type="dxa"/>
          </w:tcPr>
          <w:p w14:paraId="35A8A686" w14:textId="61E25842" w:rsidR="00E27CC9" w:rsidRPr="00E64010" w:rsidRDefault="00E27CC9" w:rsidP="00E53CB1">
            <w:pPr>
              <w:rPr>
                <w:rFonts w:cs="Arial"/>
                <w:lang w:val="es-US"/>
              </w:rPr>
            </w:pPr>
            <w:r w:rsidRPr="00E64010">
              <w:rPr>
                <w:rFonts w:cs="Arial"/>
                <w:lang w:val="es-US"/>
              </w:rPr>
              <w:t>23 de septiembre de 2021</w:t>
            </w:r>
          </w:p>
        </w:tc>
      </w:tr>
      <w:tr w:rsidR="00E27CC9" w:rsidRPr="00E64010" w14:paraId="5956EDE3" w14:textId="77777777" w:rsidTr="006425AE">
        <w:tc>
          <w:tcPr>
            <w:tcW w:w="1312" w:type="dxa"/>
            <w:shd w:val="clear" w:color="auto" w:fill="auto"/>
          </w:tcPr>
          <w:p w14:paraId="57A888E2" w14:textId="36386099" w:rsidR="00E27CC9" w:rsidRPr="00E64010" w:rsidRDefault="00E27CC9" w:rsidP="00E53CB1">
            <w:pPr>
              <w:jc w:val="center"/>
              <w:rPr>
                <w:rFonts w:cs="Arial"/>
                <w:lang w:val="es-US"/>
              </w:rPr>
            </w:pPr>
          </w:p>
        </w:tc>
        <w:tc>
          <w:tcPr>
            <w:tcW w:w="4430" w:type="dxa"/>
            <w:shd w:val="clear" w:color="auto" w:fill="auto"/>
          </w:tcPr>
          <w:p w14:paraId="77982FAC" w14:textId="74428013" w:rsidR="00E27CC9" w:rsidRPr="00E64010" w:rsidRDefault="00E27CC9" w:rsidP="00E53CB1">
            <w:pPr>
              <w:pStyle w:val="PlainText"/>
              <w:rPr>
                <w:rFonts w:ascii="Arial" w:hAnsi="Arial" w:cs="Arial"/>
                <w:szCs w:val="22"/>
                <w:lang w:val="es-US"/>
              </w:rPr>
            </w:pPr>
          </w:p>
        </w:tc>
        <w:tc>
          <w:tcPr>
            <w:tcW w:w="2340" w:type="dxa"/>
          </w:tcPr>
          <w:p w14:paraId="2469D711" w14:textId="48B5747B" w:rsidR="00E27CC9" w:rsidRPr="00E64010" w:rsidRDefault="00E27CC9" w:rsidP="00E53CB1">
            <w:pPr>
              <w:rPr>
                <w:rFonts w:cs="Arial"/>
                <w:lang w:val="es-US"/>
              </w:rPr>
            </w:pPr>
          </w:p>
        </w:tc>
        <w:tc>
          <w:tcPr>
            <w:tcW w:w="2083" w:type="dxa"/>
          </w:tcPr>
          <w:p w14:paraId="0B6C6B24" w14:textId="289DCC5B" w:rsidR="00E27CC9" w:rsidRPr="00E64010" w:rsidRDefault="00E27CC9" w:rsidP="00E53CB1">
            <w:pPr>
              <w:rPr>
                <w:rFonts w:cs="Arial"/>
                <w:lang w:val="es-US"/>
              </w:rPr>
            </w:pPr>
          </w:p>
        </w:tc>
      </w:tr>
      <w:tr w:rsidR="00E27CC9" w:rsidRPr="00E64010" w14:paraId="45A7B489" w14:textId="77777777" w:rsidTr="006425AE">
        <w:tc>
          <w:tcPr>
            <w:tcW w:w="1312" w:type="dxa"/>
            <w:shd w:val="clear" w:color="auto" w:fill="auto"/>
          </w:tcPr>
          <w:p w14:paraId="76F104F0" w14:textId="77777777" w:rsidR="00E27CC9" w:rsidRPr="00E64010" w:rsidRDefault="00E27CC9" w:rsidP="00E53CB1">
            <w:pPr>
              <w:jc w:val="center"/>
              <w:rPr>
                <w:rFonts w:cs="Arial"/>
                <w:sz w:val="16"/>
                <w:szCs w:val="16"/>
                <w:lang w:val="es-US"/>
              </w:rPr>
            </w:pPr>
          </w:p>
        </w:tc>
        <w:tc>
          <w:tcPr>
            <w:tcW w:w="4430" w:type="dxa"/>
            <w:shd w:val="clear" w:color="auto" w:fill="auto"/>
          </w:tcPr>
          <w:p w14:paraId="17576579" w14:textId="77777777" w:rsidR="00E27CC9" w:rsidRPr="00E64010" w:rsidRDefault="00E27CC9" w:rsidP="00E53CB1">
            <w:pPr>
              <w:pStyle w:val="PlainText"/>
              <w:rPr>
                <w:rFonts w:ascii="Arial" w:hAnsi="Arial" w:cs="Arial"/>
                <w:sz w:val="16"/>
                <w:szCs w:val="16"/>
                <w:lang w:val="es-US"/>
              </w:rPr>
            </w:pPr>
          </w:p>
        </w:tc>
        <w:tc>
          <w:tcPr>
            <w:tcW w:w="2340" w:type="dxa"/>
          </w:tcPr>
          <w:p w14:paraId="0EDC9738" w14:textId="77777777" w:rsidR="00E27CC9" w:rsidRPr="00E64010" w:rsidRDefault="00E27CC9" w:rsidP="00E53CB1">
            <w:pPr>
              <w:rPr>
                <w:rFonts w:cs="Arial"/>
                <w:sz w:val="16"/>
                <w:szCs w:val="16"/>
                <w:lang w:val="es-US"/>
              </w:rPr>
            </w:pPr>
          </w:p>
        </w:tc>
        <w:tc>
          <w:tcPr>
            <w:tcW w:w="2083" w:type="dxa"/>
          </w:tcPr>
          <w:p w14:paraId="3FA20507" w14:textId="77777777" w:rsidR="00E27CC9" w:rsidRPr="00E64010" w:rsidRDefault="00E27CC9" w:rsidP="00E53CB1">
            <w:pPr>
              <w:rPr>
                <w:rFonts w:cs="Arial"/>
                <w:sz w:val="16"/>
                <w:szCs w:val="16"/>
                <w:lang w:val="es-US"/>
              </w:rPr>
            </w:pPr>
          </w:p>
        </w:tc>
      </w:tr>
      <w:tr w:rsidR="00E27CC9" w:rsidRPr="00E64010" w14:paraId="4BBAC45C" w14:textId="77777777" w:rsidTr="006425AE">
        <w:tc>
          <w:tcPr>
            <w:tcW w:w="1312" w:type="dxa"/>
            <w:shd w:val="clear" w:color="auto" w:fill="auto"/>
          </w:tcPr>
          <w:p w14:paraId="4DC5C130" w14:textId="77777777" w:rsidR="00E27CC9" w:rsidRPr="00E64010" w:rsidRDefault="00E27CC9" w:rsidP="00E53CB1">
            <w:pPr>
              <w:jc w:val="center"/>
              <w:rPr>
                <w:rFonts w:cs="Arial"/>
                <w:sz w:val="16"/>
                <w:szCs w:val="16"/>
                <w:lang w:val="es-US"/>
              </w:rPr>
            </w:pPr>
          </w:p>
        </w:tc>
        <w:tc>
          <w:tcPr>
            <w:tcW w:w="4430" w:type="dxa"/>
            <w:shd w:val="clear" w:color="auto" w:fill="auto"/>
          </w:tcPr>
          <w:p w14:paraId="36912AFA" w14:textId="77777777" w:rsidR="00E27CC9" w:rsidRPr="00E64010" w:rsidRDefault="00E27CC9" w:rsidP="00E53CB1">
            <w:pPr>
              <w:pStyle w:val="PlainText"/>
              <w:rPr>
                <w:rFonts w:ascii="Arial" w:hAnsi="Arial" w:cs="Arial"/>
                <w:sz w:val="16"/>
                <w:szCs w:val="16"/>
                <w:lang w:val="es-US"/>
              </w:rPr>
            </w:pPr>
          </w:p>
        </w:tc>
        <w:tc>
          <w:tcPr>
            <w:tcW w:w="2340" w:type="dxa"/>
          </w:tcPr>
          <w:p w14:paraId="7A2A78CE" w14:textId="77777777" w:rsidR="00E27CC9" w:rsidRPr="00E64010" w:rsidRDefault="00E27CC9" w:rsidP="00E53CB1">
            <w:pPr>
              <w:rPr>
                <w:rFonts w:cs="Arial"/>
                <w:sz w:val="16"/>
                <w:szCs w:val="16"/>
                <w:lang w:val="es-US"/>
              </w:rPr>
            </w:pPr>
          </w:p>
        </w:tc>
        <w:tc>
          <w:tcPr>
            <w:tcW w:w="2083" w:type="dxa"/>
          </w:tcPr>
          <w:p w14:paraId="4A697BAF" w14:textId="77777777" w:rsidR="00E27CC9" w:rsidRPr="00E64010" w:rsidRDefault="00E27CC9" w:rsidP="00E53CB1">
            <w:pPr>
              <w:rPr>
                <w:rFonts w:cs="Arial"/>
                <w:sz w:val="16"/>
                <w:szCs w:val="16"/>
                <w:lang w:val="es-US"/>
              </w:rPr>
            </w:pPr>
          </w:p>
        </w:tc>
      </w:tr>
      <w:tr w:rsidR="00E27CC9" w:rsidRPr="00E64010" w14:paraId="087C5473" w14:textId="77777777" w:rsidTr="006425AE">
        <w:tc>
          <w:tcPr>
            <w:tcW w:w="1312" w:type="dxa"/>
            <w:shd w:val="clear" w:color="auto" w:fill="auto"/>
          </w:tcPr>
          <w:p w14:paraId="570BEAD1" w14:textId="77777777" w:rsidR="00E27CC9" w:rsidRPr="00E64010" w:rsidRDefault="00E27CC9" w:rsidP="00E53CB1">
            <w:pPr>
              <w:jc w:val="center"/>
              <w:rPr>
                <w:rFonts w:cs="Arial"/>
                <w:sz w:val="16"/>
                <w:szCs w:val="16"/>
                <w:lang w:val="es-US"/>
              </w:rPr>
            </w:pPr>
          </w:p>
        </w:tc>
        <w:tc>
          <w:tcPr>
            <w:tcW w:w="4430" w:type="dxa"/>
            <w:shd w:val="clear" w:color="auto" w:fill="auto"/>
          </w:tcPr>
          <w:p w14:paraId="7F3C3541" w14:textId="77777777" w:rsidR="00E27CC9" w:rsidRPr="00E64010" w:rsidRDefault="00E27CC9" w:rsidP="00E53CB1">
            <w:pPr>
              <w:pStyle w:val="PlainText"/>
              <w:rPr>
                <w:rFonts w:ascii="Arial" w:hAnsi="Arial" w:cs="Arial"/>
                <w:sz w:val="16"/>
                <w:szCs w:val="16"/>
                <w:lang w:val="es-US"/>
              </w:rPr>
            </w:pPr>
          </w:p>
        </w:tc>
        <w:tc>
          <w:tcPr>
            <w:tcW w:w="2340" w:type="dxa"/>
          </w:tcPr>
          <w:p w14:paraId="43D3FCF1" w14:textId="77777777" w:rsidR="00E27CC9" w:rsidRPr="00E64010" w:rsidRDefault="00E27CC9" w:rsidP="00E53CB1">
            <w:pPr>
              <w:rPr>
                <w:rFonts w:cs="Arial"/>
                <w:sz w:val="16"/>
                <w:szCs w:val="16"/>
                <w:lang w:val="es-US"/>
              </w:rPr>
            </w:pPr>
          </w:p>
        </w:tc>
        <w:tc>
          <w:tcPr>
            <w:tcW w:w="2083" w:type="dxa"/>
          </w:tcPr>
          <w:p w14:paraId="369B8CFB" w14:textId="77777777" w:rsidR="00E27CC9" w:rsidRPr="00E64010" w:rsidRDefault="00E27CC9" w:rsidP="00E53CB1">
            <w:pPr>
              <w:rPr>
                <w:rFonts w:cs="Arial"/>
                <w:sz w:val="16"/>
                <w:szCs w:val="16"/>
                <w:lang w:val="es-US"/>
              </w:rPr>
            </w:pPr>
          </w:p>
        </w:tc>
      </w:tr>
      <w:tr w:rsidR="00E27CC9" w:rsidRPr="00E64010" w14:paraId="591830C8" w14:textId="77777777" w:rsidTr="006425AE">
        <w:tc>
          <w:tcPr>
            <w:tcW w:w="1312" w:type="dxa"/>
            <w:shd w:val="clear" w:color="auto" w:fill="auto"/>
          </w:tcPr>
          <w:p w14:paraId="24C07C65" w14:textId="77777777" w:rsidR="00E27CC9" w:rsidRPr="00E64010" w:rsidRDefault="00E27CC9" w:rsidP="00E53CB1">
            <w:pPr>
              <w:jc w:val="center"/>
              <w:rPr>
                <w:rFonts w:cs="Arial"/>
                <w:sz w:val="16"/>
                <w:szCs w:val="16"/>
                <w:lang w:val="es-US"/>
              </w:rPr>
            </w:pPr>
          </w:p>
        </w:tc>
        <w:tc>
          <w:tcPr>
            <w:tcW w:w="4430" w:type="dxa"/>
            <w:shd w:val="clear" w:color="auto" w:fill="auto"/>
          </w:tcPr>
          <w:p w14:paraId="07710683" w14:textId="77777777" w:rsidR="00E27CC9" w:rsidRPr="00E64010" w:rsidRDefault="00E27CC9" w:rsidP="00E53CB1">
            <w:pPr>
              <w:pStyle w:val="PlainText"/>
              <w:rPr>
                <w:rFonts w:ascii="Arial" w:hAnsi="Arial" w:cs="Arial"/>
                <w:sz w:val="16"/>
                <w:szCs w:val="16"/>
                <w:lang w:val="es-US"/>
              </w:rPr>
            </w:pPr>
          </w:p>
        </w:tc>
        <w:tc>
          <w:tcPr>
            <w:tcW w:w="2340" w:type="dxa"/>
          </w:tcPr>
          <w:p w14:paraId="16137E93" w14:textId="77777777" w:rsidR="00E27CC9" w:rsidRPr="00E64010" w:rsidRDefault="00E27CC9" w:rsidP="00E53CB1">
            <w:pPr>
              <w:rPr>
                <w:rFonts w:cs="Arial"/>
                <w:sz w:val="16"/>
                <w:szCs w:val="16"/>
                <w:lang w:val="es-US"/>
              </w:rPr>
            </w:pPr>
          </w:p>
        </w:tc>
        <w:tc>
          <w:tcPr>
            <w:tcW w:w="2083" w:type="dxa"/>
          </w:tcPr>
          <w:p w14:paraId="04EB7C9C" w14:textId="77777777" w:rsidR="00E27CC9" w:rsidRPr="00E64010" w:rsidRDefault="00E27CC9" w:rsidP="00E53CB1">
            <w:pPr>
              <w:rPr>
                <w:rFonts w:cs="Arial"/>
                <w:sz w:val="16"/>
                <w:szCs w:val="16"/>
                <w:lang w:val="es-US"/>
              </w:rPr>
            </w:pPr>
          </w:p>
        </w:tc>
      </w:tr>
      <w:tr w:rsidR="00E27CC9" w:rsidRPr="00E64010" w14:paraId="58D56528" w14:textId="77777777" w:rsidTr="006425AE">
        <w:tc>
          <w:tcPr>
            <w:tcW w:w="1312" w:type="dxa"/>
            <w:shd w:val="clear" w:color="auto" w:fill="auto"/>
          </w:tcPr>
          <w:p w14:paraId="101446C5" w14:textId="77777777" w:rsidR="00E27CC9" w:rsidRPr="00E64010" w:rsidRDefault="00E27CC9" w:rsidP="00E53CB1">
            <w:pPr>
              <w:jc w:val="center"/>
              <w:rPr>
                <w:rFonts w:cs="Arial"/>
                <w:sz w:val="16"/>
                <w:szCs w:val="16"/>
                <w:lang w:val="es-US"/>
              </w:rPr>
            </w:pPr>
          </w:p>
        </w:tc>
        <w:tc>
          <w:tcPr>
            <w:tcW w:w="4430" w:type="dxa"/>
            <w:shd w:val="clear" w:color="auto" w:fill="auto"/>
          </w:tcPr>
          <w:p w14:paraId="74EBAC6F" w14:textId="77777777" w:rsidR="00E27CC9" w:rsidRPr="00E64010" w:rsidRDefault="00E27CC9" w:rsidP="00E53CB1">
            <w:pPr>
              <w:pStyle w:val="PlainText"/>
              <w:rPr>
                <w:rFonts w:ascii="Arial" w:hAnsi="Arial" w:cs="Arial"/>
                <w:sz w:val="16"/>
                <w:szCs w:val="16"/>
                <w:lang w:val="es-US"/>
              </w:rPr>
            </w:pPr>
          </w:p>
        </w:tc>
        <w:tc>
          <w:tcPr>
            <w:tcW w:w="2340" w:type="dxa"/>
          </w:tcPr>
          <w:p w14:paraId="1043195C" w14:textId="77777777" w:rsidR="00E27CC9" w:rsidRPr="00E64010" w:rsidRDefault="00E27CC9" w:rsidP="00E53CB1">
            <w:pPr>
              <w:rPr>
                <w:rFonts w:cs="Arial"/>
                <w:sz w:val="16"/>
                <w:szCs w:val="16"/>
                <w:lang w:val="es-US"/>
              </w:rPr>
            </w:pPr>
          </w:p>
        </w:tc>
        <w:tc>
          <w:tcPr>
            <w:tcW w:w="2083" w:type="dxa"/>
          </w:tcPr>
          <w:p w14:paraId="79309BC9" w14:textId="77777777" w:rsidR="00E27CC9" w:rsidRPr="00E64010" w:rsidRDefault="00E27CC9" w:rsidP="00E53CB1">
            <w:pPr>
              <w:rPr>
                <w:rFonts w:cs="Arial"/>
                <w:sz w:val="16"/>
                <w:szCs w:val="16"/>
                <w:lang w:val="es-US"/>
              </w:rPr>
            </w:pPr>
          </w:p>
        </w:tc>
      </w:tr>
      <w:tr w:rsidR="00E27CC9" w:rsidRPr="00E64010" w14:paraId="108EEAD6" w14:textId="77777777" w:rsidTr="006425AE">
        <w:tc>
          <w:tcPr>
            <w:tcW w:w="1312" w:type="dxa"/>
            <w:shd w:val="clear" w:color="auto" w:fill="auto"/>
          </w:tcPr>
          <w:p w14:paraId="0D96822E" w14:textId="77777777" w:rsidR="00E27CC9" w:rsidRPr="00E64010" w:rsidRDefault="00E27CC9" w:rsidP="00E53CB1">
            <w:pPr>
              <w:jc w:val="center"/>
              <w:rPr>
                <w:rFonts w:cs="Arial"/>
                <w:sz w:val="16"/>
                <w:szCs w:val="16"/>
                <w:lang w:val="es-US"/>
              </w:rPr>
            </w:pPr>
          </w:p>
        </w:tc>
        <w:tc>
          <w:tcPr>
            <w:tcW w:w="4430" w:type="dxa"/>
            <w:shd w:val="clear" w:color="auto" w:fill="auto"/>
          </w:tcPr>
          <w:p w14:paraId="620CDF99" w14:textId="77777777" w:rsidR="00E27CC9" w:rsidRPr="00E64010" w:rsidRDefault="00E27CC9" w:rsidP="00E53CB1">
            <w:pPr>
              <w:pStyle w:val="PlainText"/>
              <w:rPr>
                <w:rFonts w:ascii="Arial" w:hAnsi="Arial" w:cs="Arial"/>
                <w:sz w:val="16"/>
                <w:szCs w:val="16"/>
                <w:lang w:val="es-US"/>
              </w:rPr>
            </w:pPr>
          </w:p>
        </w:tc>
        <w:tc>
          <w:tcPr>
            <w:tcW w:w="2340" w:type="dxa"/>
          </w:tcPr>
          <w:p w14:paraId="22EAD5F6" w14:textId="77777777" w:rsidR="00E27CC9" w:rsidRPr="00E64010" w:rsidRDefault="00E27CC9" w:rsidP="00E53CB1">
            <w:pPr>
              <w:rPr>
                <w:rFonts w:cs="Arial"/>
                <w:sz w:val="16"/>
                <w:szCs w:val="16"/>
                <w:lang w:val="es-US"/>
              </w:rPr>
            </w:pPr>
          </w:p>
        </w:tc>
        <w:tc>
          <w:tcPr>
            <w:tcW w:w="2083" w:type="dxa"/>
          </w:tcPr>
          <w:p w14:paraId="261F0EFE" w14:textId="77777777" w:rsidR="00E27CC9" w:rsidRPr="00E64010" w:rsidRDefault="00E27CC9" w:rsidP="00E53CB1">
            <w:pPr>
              <w:rPr>
                <w:rFonts w:cs="Arial"/>
                <w:sz w:val="16"/>
                <w:szCs w:val="16"/>
                <w:lang w:val="es-US"/>
              </w:rPr>
            </w:pPr>
          </w:p>
        </w:tc>
      </w:tr>
      <w:tr w:rsidR="00E27CC9" w:rsidRPr="00E64010" w14:paraId="5518226C" w14:textId="77777777" w:rsidTr="006425AE">
        <w:tc>
          <w:tcPr>
            <w:tcW w:w="1312" w:type="dxa"/>
            <w:shd w:val="clear" w:color="auto" w:fill="auto"/>
          </w:tcPr>
          <w:p w14:paraId="55D3CEEF" w14:textId="77777777" w:rsidR="00E27CC9" w:rsidRPr="00E64010" w:rsidRDefault="00E27CC9" w:rsidP="00E53CB1">
            <w:pPr>
              <w:jc w:val="center"/>
              <w:rPr>
                <w:rFonts w:cs="Arial"/>
                <w:sz w:val="16"/>
                <w:szCs w:val="16"/>
                <w:lang w:val="es-US"/>
              </w:rPr>
            </w:pPr>
          </w:p>
        </w:tc>
        <w:tc>
          <w:tcPr>
            <w:tcW w:w="4430" w:type="dxa"/>
            <w:shd w:val="clear" w:color="auto" w:fill="auto"/>
          </w:tcPr>
          <w:p w14:paraId="39B693B2" w14:textId="77777777" w:rsidR="00E27CC9" w:rsidRPr="00E64010" w:rsidRDefault="00E27CC9" w:rsidP="00E53CB1">
            <w:pPr>
              <w:pStyle w:val="PlainText"/>
              <w:rPr>
                <w:rFonts w:ascii="Arial" w:hAnsi="Arial" w:cs="Arial"/>
                <w:sz w:val="16"/>
                <w:szCs w:val="16"/>
                <w:lang w:val="es-US"/>
              </w:rPr>
            </w:pPr>
          </w:p>
        </w:tc>
        <w:tc>
          <w:tcPr>
            <w:tcW w:w="2340" w:type="dxa"/>
          </w:tcPr>
          <w:p w14:paraId="2C4CEA95" w14:textId="77777777" w:rsidR="00E27CC9" w:rsidRPr="00E64010" w:rsidRDefault="00E27CC9" w:rsidP="00E53CB1">
            <w:pPr>
              <w:rPr>
                <w:rFonts w:cs="Arial"/>
                <w:sz w:val="16"/>
                <w:szCs w:val="16"/>
                <w:lang w:val="es-US"/>
              </w:rPr>
            </w:pPr>
          </w:p>
        </w:tc>
        <w:tc>
          <w:tcPr>
            <w:tcW w:w="2083" w:type="dxa"/>
          </w:tcPr>
          <w:p w14:paraId="1DD02495" w14:textId="77777777" w:rsidR="00E27CC9" w:rsidRPr="00E64010" w:rsidRDefault="00E27CC9" w:rsidP="00E53CB1">
            <w:pPr>
              <w:rPr>
                <w:rFonts w:cs="Arial"/>
                <w:sz w:val="16"/>
                <w:szCs w:val="16"/>
                <w:lang w:val="es-US"/>
              </w:rPr>
            </w:pPr>
          </w:p>
        </w:tc>
      </w:tr>
      <w:tr w:rsidR="00E27CC9" w:rsidRPr="00E64010" w14:paraId="33A71FFD" w14:textId="77777777" w:rsidTr="006425AE">
        <w:tc>
          <w:tcPr>
            <w:tcW w:w="1312" w:type="dxa"/>
            <w:shd w:val="clear" w:color="auto" w:fill="auto"/>
          </w:tcPr>
          <w:p w14:paraId="19ED6F37" w14:textId="77777777" w:rsidR="00E27CC9" w:rsidRPr="00E64010" w:rsidRDefault="00E27CC9" w:rsidP="00E53CB1">
            <w:pPr>
              <w:jc w:val="center"/>
              <w:rPr>
                <w:rFonts w:cs="Arial"/>
                <w:sz w:val="16"/>
                <w:szCs w:val="16"/>
                <w:lang w:val="es-US"/>
              </w:rPr>
            </w:pPr>
          </w:p>
        </w:tc>
        <w:tc>
          <w:tcPr>
            <w:tcW w:w="4430" w:type="dxa"/>
            <w:shd w:val="clear" w:color="auto" w:fill="auto"/>
          </w:tcPr>
          <w:p w14:paraId="44D04CA0" w14:textId="77777777" w:rsidR="00E27CC9" w:rsidRPr="00E64010" w:rsidRDefault="00E27CC9" w:rsidP="00E53CB1">
            <w:pPr>
              <w:pStyle w:val="PlainText"/>
              <w:rPr>
                <w:rFonts w:ascii="Arial" w:hAnsi="Arial" w:cs="Arial"/>
                <w:sz w:val="16"/>
                <w:szCs w:val="16"/>
                <w:lang w:val="es-US"/>
              </w:rPr>
            </w:pPr>
          </w:p>
        </w:tc>
        <w:tc>
          <w:tcPr>
            <w:tcW w:w="2340" w:type="dxa"/>
          </w:tcPr>
          <w:p w14:paraId="06186015" w14:textId="77777777" w:rsidR="00E27CC9" w:rsidRPr="00E64010" w:rsidRDefault="00E27CC9" w:rsidP="00E53CB1">
            <w:pPr>
              <w:rPr>
                <w:rFonts w:cs="Arial"/>
                <w:sz w:val="16"/>
                <w:szCs w:val="16"/>
                <w:lang w:val="es-US"/>
              </w:rPr>
            </w:pPr>
          </w:p>
        </w:tc>
        <w:tc>
          <w:tcPr>
            <w:tcW w:w="2083" w:type="dxa"/>
          </w:tcPr>
          <w:p w14:paraId="702AC3D1" w14:textId="77777777" w:rsidR="00E27CC9" w:rsidRPr="00E64010" w:rsidRDefault="00E27CC9" w:rsidP="00E53CB1">
            <w:pPr>
              <w:rPr>
                <w:rFonts w:cs="Arial"/>
                <w:sz w:val="16"/>
                <w:szCs w:val="16"/>
                <w:lang w:val="es-US"/>
              </w:rPr>
            </w:pPr>
          </w:p>
        </w:tc>
      </w:tr>
      <w:tr w:rsidR="00E27CC9" w:rsidRPr="00E64010" w14:paraId="4CA43957" w14:textId="77777777" w:rsidTr="006425AE">
        <w:tc>
          <w:tcPr>
            <w:tcW w:w="1312" w:type="dxa"/>
            <w:shd w:val="clear" w:color="auto" w:fill="auto"/>
          </w:tcPr>
          <w:p w14:paraId="2D82F884" w14:textId="77777777" w:rsidR="00E27CC9" w:rsidRPr="00E64010" w:rsidRDefault="00E27CC9" w:rsidP="00E53CB1">
            <w:pPr>
              <w:jc w:val="center"/>
              <w:rPr>
                <w:rFonts w:cs="Arial"/>
                <w:sz w:val="16"/>
                <w:szCs w:val="16"/>
                <w:lang w:val="es-US"/>
              </w:rPr>
            </w:pPr>
          </w:p>
        </w:tc>
        <w:tc>
          <w:tcPr>
            <w:tcW w:w="4430" w:type="dxa"/>
            <w:shd w:val="clear" w:color="auto" w:fill="auto"/>
          </w:tcPr>
          <w:p w14:paraId="14849DFF" w14:textId="77777777" w:rsidR="00E27CC9" w:rsidRPr="00E64010" w:rsidRDefault="00E27CC9" w:rsidP="00E53CB1">
            <w:pPr>
              <w:pStyle w:val="PlainText"/>
              <w:rPr>
                <w:rFonts w:ascii="Arial" w:hAnsi="Arial" w:cs="Arial"/>
                <w:sz w:val="16"/>
                <w:szCs w:val="16"/>
                <w:lang w:val="es-US"/>
              </w:rPr>
            </w:pPr>
          </w:p>
        </w:tc>
        <w:tc>
          <w:tcPr>
            <w:tcW w:w="2340" w:type="dxa"/>
          </w:tcPr>
          <w:p w14:paraId="3EAE0266" w14:textId="77777777" w:rsidR="00E27CC9" w:rsidRPr="00E64010" w:rsidRDefault="00E27CC9" w:rsidP="00E53CB1">
            <w:pPr>
              <w:rPr>
                <w:rFonts w:cs="Arial"/>
                <w:sz w:val="16"/>
                <w:szCs w:val="16"/>
                <w:lang w:val="es-US"/>
              </w:rPr>
            </w:pPr>
          </w:p>
        </w:tc>
        <w:tc>
          <w:tcPr>
            <w:tcW w:w="2083" w:type="dxa"/>
          </w:tcPr>
          <w:p w14:paraId="349ED6D3" w14:textId="77777777" w:rsidR="00E27CC9" w:rsidRPr="00E64010" w:rsidRDefault="00E27CC9" w:rsidP="00E53CB1">
            <w:pPr>
              <w:rPr>
                <w:rFonts w:cs="Arial"/>
                <w:sz w:val="16"/>
                <w:szCs w:val="16"/>
                <w:lang w:val="es-US"/>
              </w:rPr>
            </w:pPr>
          </w:p>
        </w:tc>
      </w:tr>
      <w:tr w:rsidR="00E27CC9" w:rsidRPr="00E64010" w14:paraId="3038DE2D" w14:textId="77777777" w:rsidTr="006425AE">
        <w:tc>
          <w:tcPr>
            <w:tcW w:w="1312" w:type="dxa"/>
            <w:shd w:val="clear" w:color="auto" w:fill="auto"/>
          </w:tcPr>
          <w:p w14:paraId="53388C88" w14:textId="77777777" w:rsidR="00E27CC9" w:rsidRPr="00E64010" w:rsidRDefault="00E27CC9" w:rsidP="00E53CB1">
            <w:pPr>
              <w:jc w:val="center"/>
              <w:rPr>
                <w:rFonts w:cs="Arial"/>
                <w:sz w:val="16"/>
                <w:szCs w:val="16"/>
                <w:lang w:val="es-US"/>
              </w:rPr>
            </w:pPr>
          </w:p>
        </w:tc>
        <w:tc>
          <w:tcPr>
            <w:tcW w:w="4430" w:type="dxa"/>
            <w:shd w:val="clear" w:color="auto" w:fill="auto"/>
          </w:tcPr>
          <w:p w14:paraId="3B7413A6" w14:textId="77777777" w:rsidR="00E27CC9" w:rsidRPr="00E64010" w:rsidRDefault="00E27CC9" w:rsidP="00E53CB1">
            <w:pPr>
              <w:pStyle w:val="PlainText"/>
              <w:rPr>
                <w:rFonts w:ascii="Arial" w:hAnsi="Arial" w:cs="Arial"/>
                <w:sz w:val="16"/>
                <w:szCs w:val="16"/>
                <w:lang w:val="es-US"/>
              </w:rPr>
            </w:pPr>
          </w:p>
        </w:tc>
        <w:tc>
          <w:tcPr>
            <w:tcW w:w="2340" w:type="dxa"/>
          </w:tcPr>
          <w:p w14:paraId="6F22A3C3" w14:textId="77777777" w:rsidR="00E27CC9" w:rsidRPr="00E64010" w:rsidRDefault="00E27CC9" w:rsidP="00E53CB1">
            <w:pPr>
              <w:rPr>
                <w:rFonts w:cs="Arial"/>
                <w:sz w:val="16"/>
                <w:szCs w:val="16"/>
                <w:lang w:val="es-US"/>
              </w:rPr>
            </w:pPr>
          </w:p>
        </w:tc>
        <w:tc>
          <w:tcPr>
            <w:tcW w:w="2083" w:type="dxa"/>
          </w:tcPr>
          <w:p w14:paraId="1EF17597" w14:textId="77777777" w:rsidR="00E27CC9" w:rsidRPr="00E64010" w:rsidRDefault="00E27CC9" w:rsidP="00E53CB1">
            <w:pPr>
              <w:rPr>
                <w:rFonts w:cs="Arial"/>
                <w:sz w:val="16"/>
                <w:szCs w:val="16"/>
                <w:lang w:val="es-US"/>
              </w:rPr>
            </w:pPr>
          </w:p>
        </w:tc>
      </w:tr>
      <w:tr w:rsidR="00E27CC9" w:rsidRPr="00E64010" w14:paraId="328CB7A8" w14:textId="77777777" w:rsidTr="006425AE">
        <w:tc>
          <w:tcPr>
            <w:tcW w:w="1312" w:type="dxa"/>
            <w:shd w:val="clear" w:color="auto" w:fill="auto"/>
          </w:tcPr>
          <w:p w14:paraId="10B0204B" w14:textId="77777777" w:rsidR="00E27CC9" w:rsidRPr="00E64010" w:rsidRDefault="00E27CC9" w:rsidP="00E53CB1">
            <w:pPr>
              <w:jc w:val="center"/>
              <w:rPr>
                <w:rFonts w:cs="Arial"/>
                <w:sz w:val="16"/>
                <w:szCs w:val="16"/>
                <w:lang w:val="es-US"/>
              </w:rPr>
            </w:pPr>
          </w:p>
        </w:tc>
        <w:tc>
          <w:tcPr>
            <w:tcW w:w="4430" w:type="dxa"/>
            <w:shd w:val="clear" w:color="auto" w:fill="auto"/>
          </w:tcPr>
          <w:p w14:paraId="4FD39CB6" w14:textId="77777777" w:rsidR="00E27CC9" w:rsidRPr="00E64010" w:rsidRDefault="00E27CC9" w:rsidP="00E53CB1">
            <w:pPr>
              <w:pStyle w:val="PlainText"/>
              <w:rPr>
                <w:rFonts w:ascii="Arial" w:hAnsi="Arial" w:cs="Arial"/>
                <w:sz w:val="16"/>
                <w:szCs w:val="16"/>
                <w:lang w:val="es-US"/>
              </w:rPr>
            </w:pPr>
          </w:p>
        </w:tc>
        <w:tc>
          <w:tcPr>
            <w:tcW w:w="2340" w:type="dxa"/>
          </w:tcPr>
          <w:p w14:paraId="042FC631" w14:textId="77777777" w:rsidR="00E27CC9" w:rsidRPr="00E64010" w:rsidRDefault="00E27CC9" w:rsidP="00E53CB1">
            <w:pPr>
              <w:rPr>
                <w:rFonts w:cs="Arial"/>
                <w:sz w:val="16"/>
                <w:szCs w:val="16"/>
                <w:lang w:val="es-US"/>
              </w:rPr>
            </w:pPr>
          </w:p>
        </w:tc>
        <w:tc>
          <w:tcPr>
            <w:tcW w:w="2083" w:type="dxa"/>
          </w:tcPr>
          <w:p w14:paraId="37D2F1A2" w14:textId="77777777" w:rsidR="00E27CC9" w:rsidRPr="00E64010" w:rsidRDefault="00E27CC9" w:rsidP="00E53CB1">
            <w:pPr>
              <w:rPr>
                <w:rFonts w:cs="Arial"/>
                <w:sz w:val="16"/>
                <w:szCs w:val="16"/>
                <w:lang w:val="es-US"/>
              </w:rPr>
            </w:pPr>
          </w:p>
        </w:tc>
      </w:tr>
      <w:tr w:rsidR="00E27CC9" w:rsidRPr="00E64010" w14:paraId="1595806D" w14:textId="77777777" w:rsidTr="006425AE">
        <w:tc>
          <w:tcPr>
            <w:tcW w:w="1312" w:type="dxa"/>
            <w:shd w:val="clear" w:color="auto" w:fill="auto"/>
          </w:tcPr>
          <w:p w14:paraId="5B6E7FC5" w14:textId="77777777" w:rsidR="00E27CC9" w:rsidRPr="00E64010" w:rsidRDefault="00E27CC9" w:rsidP="00E53CB1">
            <w:pPr>
              <w:jc w:val="center"/>
              <w:rPr>
                <w:rFonts w:cs="Arial"/>
                <w:sz w:val="16"/>
                <w:szCs w:val="16"/>
                <w:lang w:val="es-US"/>
              </w:rPr>
            </w:pPr>
          </w:p>
        </w:tc>
        <w:tc>
          <w:tcPr>
            <w:tcW w:w="4430" w:type="dxa"/>
            <w:shd w:val="clear" w:color="auto" w:fill="auto"/>
          </w:tcPr>
          <w:p w14:paraId="39289D4E" w14:textId="77777777" w:rsidR="00E27CC9" w:rsidRPr="00E64010" w:rsidRDefault="00E27CC9" w:rsidP="00E53CB1">
            <w:pPr>
              <w:pStyle w:val="PlainText"/>
              <w:rPr>
                <w:rFonts w:ascii="Arial" w:hAnsi="Arial" w:cs="Arial"/>
                <w:sz w:val="16"/>
                <w:szCs w:val="16"/>
                <w:lang w:val="es-US"/>
              </w:rPr>
            </w:pPr>
          </w:p>
        </w:tc>
        <w:tc>
          <w:tcPr>
            <w:tcW w:w="2340" w:type="dxa"/>
          </w:tcPr>
          <w:p w14:paraId="66279306" w14:textId="77777777" w:rsidR="00E27CC9" w:rsidRPr="00E64010" w:rsidRDefault="00E27CC9" w:rsidP="00E53CB1">
            <w:pPr>
              <w:rPr>
                <w:rFonts w:cs="Arial"/>
                <w:sz w:val="16"/>
                <w:szCs w:val="16"/>
                <w:lang w:val="es-US"/>
              </w:rPr>
            </w:pPr>
          </w:p>
        </w:tc>
        <w:tc>
          <w:tcPr>
            <w:tcW w:w="2083" w:type="dxa"/>
          </w:tcPr>
          <w:p w14:paraId="17403748" w14:textId="77777777" w:rsidR="00E27CC9" w:rsidRPr="00E64010" w:rsidRDefault="00E27CC9" w:rsidP="00E53CB1">
            <w:pPr>
              <w:rPr>
                <w:rFonts w:cs="Arial"/>
                <w:sz w:val="16"/>
                <w:szCs w:val="16"/>
                <w:lang w:val="es-US"/>
              </w:rPr>
            </w:pPr>
          </w:p>
        </w:tc>
      </w:tr>
      <w:tr w:rsidR="00E27CC9" w:rsidRPr="00E64010" w14:paraId="26FAC941" w14:textId="77777777" w:rsidTr="006425AE">
        <w:tc>
          <w:tcPr>
            <w:tcW w:w="1312" w:type="dxa"/>
            <w:shd w:val="clear" w:color="auto" w:fill="auto"/>
          </w:tcPr>
          <w:p w14:paraId="236CA313" w14:textId="77777777" w:rsidR="00E27CC9" w:rsidRPr="00E64010" w:rsidRDefault="00E27CC9" w:rsidP="00E53CB1">
            <w:pPr>
              <w:jc w:val="center"/>
              <w:rPr>
                <w:rFonts w:cs="Arial"/>
                <w:sz w:val="16"/>
                <w:szCs w:val="16"/>
                <w:lang w:val="es-US"/>
              </w:rPr>
            </w:pPr>
          </w:p>
        </w:tc>
        <w:tc>
          <w:tcPr>
            <w:tcW w:w="4430" w:type="dxa"/>
            <w:shd w:val="clear" w:color="auto" w:fill="auto"/>
          </w:tcPr>
          <w:p w14:paraId="19B8E2B3" w14:textId="77777777" w:rsidR="00E27CC9" w:rsidRPr="00E64010" w:rsidRDefault="00E27CC9" w:rsidP="00E53CB1">
            <w:pPr>
              <w:pStyle w:val="PlainText"/>
              <w:rPr>
                <w:rFonts w:ascii="Arial" w:hAnsi="Arial" w:cs="Arial"/>
                <w:sz w:val="16"/>
                <w:szCs w:val="16"/>
                <w:lang w:val="es-US"/>
              </w:rPr>
            </w:pPr>
          </w:p>
        </w:tc>
        <w:tc>
          <w:tcPr>
            <w:tcW w:w="2340" w:type="dxa"/>
          </w:tcPr>
          <w:p w14:paraId="64DDBBDA" w14:textId="77777777" w:rsidR="00E27CC9" w:rsidRPr="00E64010" w:rsidRDefault="00E27CC9" w:rsidP="00E53CB1">
            <w:pPr>
              <w:rPr>
                <w:rFonts w:cs="Arial"/>
                <w:sz w:val="16"/>
                <w:szCs w:val="16"/>
                <w:lang w:val="es-US"/>
              </w:rPr>
            </w:pPr>
          </w:p>
        </w:tc>
        <w:tc>
          <w:tcPr>
            <w:tcW w:w="2083" w:type="dxa"/>
          </w:tcPr>
          <w:p w14:paraId="297C7755" w14:textId="77777777" w:rsidR="00E27CC9" w:rsidRPr="00E64010" w:rsidRDefault="00E27CC9" w:rsidP="00E53CB1">
            <w:pPr>
              <w:rPr>
                <w:rFonts w:cs="Arial"/>
                <w:sz w:val="16"/>
                <w:szCs w:val="16"/>
                <w:lang w:val="es-US"/>
              </w:rPr>
            </w:pPr>
          </w:p>
        </w:tc>
      </w:tr>
      <w:tr w:rsidR="00E27CC9" w:rsidRPr="00E64010" w14:paraId="737FBF6B" w14:textId="77777777" w:rsidTr="006425AE">
        <w:tc>
          <w:tcPr>
            <w:tcW w:w="1312" w:type="dxa"/>
            <w:shd w:val="clear" w:color="auto" w:fill="auto"/>
          </w:tcPr>
          <w:p w14:paraId="7E078020" w14:textId="77777777" w:rsidR="00E27CC9" w:rsidRPr="00E64010" w:rsidRDefault="00E27CC9" w:rsidP="00E53CB1">
            <w:pPr>
              <w:jc w:val="center"/>
              <w:rPr>
                <w:rFonts w:cs="Arial"/>
                <w:sz w:val="16"/>
                <w:szCs w:val="16"/>
                <w:lang w:val="es-US"/>
              </w:rPr>
            </w:pPr>
          </w:p>
        </w:tc>
        <w:tc>
          <w:tcPr>
            <w:tcW w:w="4430" w:type="dxa"/>
            <w:shd w:val="clear" w:color="auto" w:fill="auto"/>
          </w:tcPr>
          <w:p w14:paraId="00CB50B4" w14:textId="77777777" w:rsidR="00E27CC9" w:rsidRPr="00E64010" w:rsidRDefault="00E27CC9" w:rsidP="00E53CB1">
            <w:pPr>
              <w:pStyle w:val="PlainText"/>
              <w:rPr>
                <w:rFonts w:ascii="Arial" w:hAnsi="Arial" w:cs="Arial"/>
                <w:sz w:val="16"/>
                <w:szCs w:val="16"/>
                <w:lang w:val="es-US"/>
              </w:rPr>
            </w:pPr>
          </w:p>
        </w:tc>
        <w:tc>
          <w:tcPr>
            <w:tcW w:w="2340" w:type="dxa"/>
          </w:tcPr>
          <w:p w14:paraId="12E3AD49" w14:textId="77777777" w:rsidR="00E27CC9" w:rsidRPr="00E64010" w:rsidRDefault="00E27CC9" w:rsidP="00E53CB1">
            <w:pPr>
              <w:rPr>
                <w:rFonts w:cs="Arial"/>
                <w:sz w:val="16"/>
                <w:szCs w:val="16"/>
                <w:lang w:val="es-US"/>
              </w:rPr>
            </w:pPr>
          </w:p>
        </w:tc>
        <w:tc>
          <w:tcPr>
            <w:tcW w:w="2083" w:type="dxa"/>
          </w:tcPr>
          <w:p w14:paraId="437B7D39" w14:textId="77777777" w:rsidR="00E27CC9" w:rsidRPr="00E64010" w:rsidRDefault="00E27CC9" w:rsidP="00E53CB1">
            <w:pPr>
              <w:rPr>
                <w:rFonts w:cs="Arial"/>
                <w:sz w:val="16"/>
                <w:szCs w:val="16"/>
                <w:lang w:val="es-US"/>
              </w:rPr>
            </w:pPr>
          </w:p>
        </w:tc>
      </w:tr>
      <w:tr w:rsidR="00E27CC9" w:rsidRPr="00E64010" w14:paraId="1ACC3783" w14:textId="77777777" w:rsidTr="006425AE">
        <w:tc>
          <w:tcPr>
            <w:tcW w:w="1312" w:type="dxa"/>
            <w:shd w:val="clear" w:color="auto" w:fill="auto"/>
          </w:tcPr>
          <w:p w14:paraId="06DF6DF3" w14:textId="77777777" w:rsidR="00E27CC9" w:rsidRPr="00E64010" w:rsidRDefault="00E27CC9" w:rsidP="00E53CB1">
            <w:pPr>
              <w:jc w:val="center"/>
              <w:rPr>
                <w:rFonts w:cs="Arial"/>
                <w:sz w:val="16"/>
                <w:szCs w:val="16"/>
                <w:lang w:val="es-US"/>
              </w:rPr>
            </w:pPr>
          </w:p>
        </w:tc>
        <w:tc>
          <w:tcPr>
            <w:tcW w:w="4430" w:type="dxa"/>
            <w:shd w:val="clear" w:color="auto" w:fill="auto"/>
          </w:tcPr>
          <w:p w14:paraId="4489C357" w14:textId="77777777" w:rsidR="00E27CC9" w:rsidRPr="00E64010" w:rsidRDefault="00E27CC9" w:rsidP="00E53CB1">
            <w:pPr>
              <w:pStyle w:val="PlainText"/>
              <w:rPr>
                <w:rFonts w:ascii="Arial" w:hAnsi="Arial" w:cs="Arial"/>
                <w:sz w:val="16"/>
                <w:szCs w:val="16"/>
                <w:lang w:val="es-US"/>
              </w:rPr>
            </w:pPr>
          </w:p>
        </w:tc>
        <w:tc>
          <w:tcPr>
            <w:tcW w:w="2340" w:type="dxa"/>
          </w:tcPr>
          <w:p w14:paraId="7417C60E" w14:textId="77777777" w:rsidR="00E27CC9" w:rsidRPr="00E64010" w:rsidRDefault="00E27CC9" w:rsidP="00E53CB1">
            <w:pPr>
              <w:rPr>
                <w:rFonts w:cs="Arial"/>
                <w:sz w:val="16"/>
                <w:szCs w:val="16"/>
                <w:lang w:val="es-US"/>
              </w:rPr>
            </w:pPr>
          </w:p>
        </w:tc>
        <w:tc>
          <w:tcPr>
            <w:tcW w:w="2083" w:type="dxa"/>
          </w:tcPr>
          <w:p w14:paraId="4F16050A" w14:textId="77777777" w:rsidR="00E27CC9" w:rsidRPr="00E64010" w:rsidRDefault="00E27CC9" w:rsidP="00E53CB1">
            <w:pPr>
              <w:rPr>
                <w:rFonts w:cs="Arial"/>
                <w:sz w:val="16"/>
                <w:szCs w:val="16"/>
                <w:lang w:val="es-US"/>
              </w:rPr>
            </w:pPr>
          </w:p>
        </w:tc>
      </w:tr>
      <w:tr w:rsidR="00E27CC9" w:rsidRPr="00E64010" w14:paraId="684F9CBE" w14:textId="77777777" w:rsidTr="006425AE">
        <w:tc>
          <w:tcPr>
            <w:tcW w:w="1312" w:type="dxa"/>
            <w:shd w:val="clear" w:color="auto" w:fill="auto"/>
          </w:tcPr>
          <w:p w14:paraId="277A5F21" w14:textId="77777777" w:rsidR="00E27CC9" w:rsidRPr="00E64010" w:rsidRDefault="00E27CC9" w:rsidP="00E53CB1">
            <w:pPr>
              <w:jc w:val="center"/>
              <w:rPr>
                <w:rFonts w:cs="Arial"/>
                <w:sz w:val="16"/>
                <w:szCs w:val="16"/>
                <w:lang w:val="es-US"/>
              </w:rPr>
            </w:pPr>
          </w:p>
        </w:tc>
        <w:tc>
          <w:tcPr>
            <w:tcW w:w="4430" w:type="dxa"/>
            <w:shd w:val="clear" w:color="auto" w:fill="auto"/>
          </w:tcPr>
          <w:p w14:paraId="1CA033DB" w14:textId="77777777" w:rsidR="00E27CC9" w:rsidRPr="00E64010" w:rsidRDefault="00E27CC9" w:rsidP="00E53CB1">
            <w:pPr>
              <w:pStyle w:val="PlainText"/>
              <w:rPr>
                <w:rFonts w:ascii="Arial" w:hAnsi="Arial" w:cs="Arial"/>
                <w:sz w:val="16"/>
                <w:szCs w:val="16"/>
                <w:lang w:val="es-US"/>
              </w:rPr>
            </w:pPr>
          </w:p>
        </w:tc>
        <w:tc>
          <w:tcPr>
            <w:tcW w:w="2340" w:type="dxa"/>
          </w:tcPr>
          <w:p w14:paraId="48F21B3F" w14:textId="77777777" w:rsidR="00E27CC9" w:rsidRPr="00E64010" w:rsidRDefault="00E27CC9" w:rsidP="00E53CB1">
            <w:pPr>
              <w:rPr>
                <w:rFonts w:cs="Arial"/>
                <w:sz w:val="16"/>
                <w:szCs w:val="16"/>
                <w:lang w:val="es-US"/>
              </w:rPr>
            </w:pPr>
          </w:p>
        </w:tc>
        <w:tc>
          <w:tcPr>
            <w:tcW w:w="2083" w:type="dxa"/>
          </w:tcPr>
          <w:p w14:paraId="0B0C0CB1" w14:textId="77777777" w:rsidR="00E27CC9" w:rsidRPr="00E64010" w:rsidRDefault="00E27CC9" w:rsidP="00E53CB1">
            <w:pPr>
              <w:rPr>
                <w:rFonts w:cs="Arial"/>
                <w:sz w:val="16"/>
                <w:szCs w:val="16"/>
                <w:lang w:val="es-US"/>
              </w:rPr>
            </w:pPr>
          </w:p>
        </w:tc>
      </w:tr>
      <w:tr w:rsidR="00E27CC9" w:rsidRPr="00E64010" w14:paraId="0270108A" w14:textId="77777777" w:rsidTr="006425AE">
        <w:tc>
          <w:tcPr>
            <w:tcW w:w="1312" w:type="dxa"/>
            <w:shd w:val="clear" w:color="auto" w:fill="auto"/>
          </w:tcPr>
          <w:p w14:paraId="513D18F0" w14:textId="77777777" w:rsidR="00E27CC9" w:rsidRPr="00E64010" w:rsidRDefault="00E27CC9" w:rsidP="00E53CB1">
            <w:pPr>
              <w:jc w:val="center"/>
              <w:rPr>
                <w:rFonts w:cs="Arial"/>
                <w:sz w:val="16"/>
                <w:szCs w:val="16"/>
                <w:lang w:val="es-US"/>
              </w:rPr>
            </w:pPr>
          </w:p>
        </w:tc>
        <w:tc>
          <w:tcPr>
            <w:tcW w:w="4430" w:type="dxa"/>
            <w:shd w:val="clear" w:color="auto" w:fill="auto"/>
          </w:tcPr>
          <w:p w14:paraId="2FF288F4" w14:textId="77777777" w:rsidR="00E27CC9" w:rsidRPr="00E64010" w:rsidRDefault="00E27CC9" w:rsidP="00E53CB1">
            <w:pPr>
              <w:pStyle w:val="PlainText"/>
              <w:rPr>
                <w:rFonts w:ascii="Arial" w:hAnsi="Arial" w:cs="Arial"/>
                <w:sz w:val="16"/>
                <w:szCs w:val="16"/>
                <w:lang w:val="es-US"/>
              </w:rPr>
            </w:pPr>
          </w:p>
        </w:tc>
        <w:tc>
          <w:tcPr>
            <w:tcW w:w="2340" w:type="dxa"/>
          </w:tcPr>
          <w:p w14:paraId="067CC359" w14:textId="77777777" w:rsidR="00E27CC9" w:rsidRPr="00E64010" w:rsidRDefault="00E27CC9" w:rsidP="00E53CB1">
            <w:pPr>
              <w:rPr>
                <w:rFonts w:cs="Arial"/>
                <w:sz w:val="16"/>
                <w:szCs w:val="16"/>
                <w:lang w:val="es-US"/>
              </w:rPr>
            </w:pPr>
          </w:p>
        </w:tc>
        <w:tc>
          <w:tcPr>
            <w:tcW w:w="2083" w:type="dxa"/>
          </w:tcPr>
          <w:p w14:paraId="7B5EE47A" w14:textId="77777777" w:rsidR="00E27CC9" w:rsidRPr="00E64010" w:rsidRDefault="00E27CC9" w:rsidP="00E53CB1">
            <w:pPr>
              <w:rPr>
                <w:rFonts w:cs="Arial"/>
                <w:sz w:val="16"/>
                <w:szCs w:val="16"/>
                <w:lang w:val="es-US"/>
              </w:rPr>
            </w:pPr>
          </w:p>
        </w:tc>
      </w:tr>
      <w:tr w:rsidR="00E27CC9" w:rsidRPr="00E64010" w14:paraId="6254C7D4" w14:textId="77777777" w:rsidTr="006425AE">
        <w:tc>
          <w:tcPr>
            <w:tcW w:w="1312" w:type="dxa"/>
            <w:shd w:val="clear" w:color="auto" w:fill="auto"/>
          </w:tcPr>
          <w:p w14:paraId="2037271F" w14:textId="77777777" w:rsidR="00E27CC9" w:rsidRPr="00E64010" w:rsidRDefault="00E27CC9" w:rsidP="00E53CB1">
            <w:pPr>
              <w:jc w:val="center"/>
              <w:rPr>
                <w:rFonts w:cs="Arial"/>
                <w:sz w:val="16"/>
                <w:szCs w:val="16"/>
                <w:lang w:val="es-US"/>
              </w:rPr>
            </w:pPr>
          </w:p>
        </w:tc>
        <w:tc>
          <w:tcPr>
            <w:tcW w:w="4430" w:type="dxa"/>
            <w:shd w:val="clear" w:color="auto" w:fill="auto"/>
          </w:tcPr>
          <w:p w14:paraId="7EE49173" w14:textId="77777777" w:rsidR="00E27CC9" w:rsidRPr="00E64010" w:rsidRDefault="00E27CC9" w:rsidP="00E53CB1">
            <w:pPr>
              <w:pStyle w:val="PlainText"/>
              <w:rPr>
                <w:rFonts w:ascii="Arial" w:hAnsi="Arial" w:cs="Arial"/>
                <w:sz w:val="16"/>
                <w:szCs w:val="16"/>
                <w:lang w:val="es-US"/>
              </w:rPr>
            </w:pPr>
          </w:p>
        </w:tc>
        <w:tc>
          <w:tcPr>
            <w:tcW w:w="2340" w:type="dxa"/>
          </w:tcPr>
          <w:p w14:paraId="21ACDAAC" w14:textId="77777777" w:rsidR="00E27CC9" w:rsidRPr="00E64010" w:rsidRDefault="00E27CC9" w:rsidP="00E53CB1">
            <w:pPr>
              <w:rPr>
                <w:rFonts w:cs="Arial"/>
                <w:sz w:val="16"/>
                <w:szCs w:val="16"/>
                <w:lang w:val="es-US"/>
              </w:rPr>
            </w:pPr>
          </w:p>
        </w:tc>
        <w:tc>
          <w:tcPr>
            <w:tcW w:w="2083" w:type="dxa"/>
          </w:tcPr>
          <w:p w14:paraId="7F4DAF8E" w14:textId="77777777" w:rsidR="00E27CC9" w:rsidRPr="00E64010" w:rsidRDefault="00E27CC9" w:rsidP="00E53CB1">
            <w:pPr>
              <w:rPr>
                <w:rFonts w:cs="Arial"/>
                <w:sz w:val="16"/>
                <w:szCs w:val="16"/>
                <w:lang w:val="es-US"/>
              </w:rPr>
            </w:pPr>
          </w:p>
        </w:tc>
      </w:tr>
      <w:tr w:rsidR="00E27CC9" w:rsidRPr="00E64010" w14:paraId="3614696C" w14:textId="77777777" w:rsidTr="006425AE">
        <w:tc>
          <w:tcPr>
            <w:tcW w:w="1312" w:type="dxa"/>
            <w:shd w:val="clear" w:color="auto" w:fill="auto"/>
          </w:tcPr>
          <w:p w14:paraId="698309EC" w14:textId="77777777" w:rsidR="00E27CC9" w:rsidRPr="00E64010" w:rsidRDefault="00E27CC9" w:rsidP="00E53CB1">
            <w:pPr>
              <w:jc w:val="center"/>
              <w:rPr>
                <w:rFonts w:cs="Arial"/>
                <w:sz w:val="16"/>
                <w:szCs w:val="16"/>
                <w:lang w:val="es-US"/>
              </w:rPr>
            </w:pPr>
          </w:p>
        </w:tc>
        <w:tc>
          <w:tcPr>
            <w:tcW w:w="4430" w:type="dxa"/>
            <w:shd w:val="clear" w:color="auto" w:fill="auto"/>
          </w:tcPr>
          <w:p w14:paraId="632090E1" w14:textId="77777777" w:rsidR="00E27CC9" w:rsidRPr="00E64010" w:rsidRDefault="00E27CC9" w:rsidP="00E53CB1">
            <w:pPr>
              <w:pStyle w:val="PlainText"/>
              <w:rPr>
                <w:rFonts w:ascii="Arial" w:hAnsi="Arial" w:cs="Arial"/>
                <w:sz w:val="16"/>
                <w:szCs w:val="16"/>
                <w:lang w:val="es-US"/>
              </w:rPr>
            </w:pPr>
          </w:p>
        </w:tc>
        <w:tc>
          <w:tcPr>
            <w:tcW w:w="2340" w:type="dxa"/>
          </w:tcPr>
          <w:p w14:paraId="7362E206" w14:textId="77777777" w:rsidR="00E27CC9" w:rsidRPr="00E64010" w:rsidRDefault="00E27CC9" w:rsidP="00E53CB1">
            <w:pPr>
              <w:rPr>
                <w:rFonts w:cs="Arial"/>
                <w:sz w:val="16"/>
                <w:szCs w:val="16"/>
                <w:lang w:val="es-US"/>
              </w:rPr>
            </w:pPr>
          </w:p>
        </w:tc>
        <w:tc>
          <w:tcPr>
            <w:tcW w:w="2083" w:type="dxa"/>
          </w:tcPr>
          <w:p w14:paraId="3385FBAA" w14:textId="77777777" w:rsidR="00E27CC9" w:rsidRPr="00E64010" w:rsidRDefault="00E27CC9" w:rsidP="00E53CB1">
            <w:pPr>
              <w:rPr>
                <w:rFonts w:cs="Arial"/>
                <w:sz w:val="16"/>
                <w:szCs w:val="16"/>
                <w:lang w:val="es-US"/>
              </w:rPr>
            </w:pPr>
          </w:p>
        </w:tc>
      </w:tr>
      <w:tr w:rsidR="00E27CC9" w:rsidRPr="00E64010" w14:paraId="15076817" w14:textId="77777777" w:rsidTr="006425AE">
        <w:tc>
          <w:tcPr>
            <w:tcW w:w="1312" w:type="dxa"/>
            <w:shd w:val="clear" w:color="auto" w:fill="auto"/>
          </w:tcPr>
          <w:p w14:paraId="481D24B5" w14:textId="77777777" w:rsidR="00E27CC9" w:rsidRPr="00E64010" w:rsidRDefault="00E27CC9" w:rsidP="00E53CB1">
            <w:pPr>
              <w:jc w:val="center"/>
              <w:rPr>
                <w:rFonts w:cs="Arial"/>
                <w:sz w:val="16"/>
                <w:szCs w:val="16"/>
                <w:lang w:val="es-US"/>
              </w:rPr>
            </w:pPr>
          </w:p>
        </w:tc>
        <w:tc>
          <w:tcPr>
            <w:tcW w:w="4430" w:type="dxa"/>
            <w:shd w:val="clear" w:color="auto" w:fill="auto"/>
          </w:tcPr>
          <w:p w14:paraId="211610BE" w14:textId="77777777" w:rsidR="00E27CC9" w:rsidRPr="00E64010" w:rsidRDefault="00E27CC9" w:rsidP="00E53CB1">
            <w:pPr>
              <w:pStyle w:val="PlainText"/>
              <w:rPr>
                <w:rFonts w:ascii="Arial" w:hAnsi="Arial" w:cs="Arial"/>
                <w:sz w:val="16"/>
                <w:szCs w:val="16"/>
                <w:lang w:val="es-US"/>
              </w:rPr>
            </w:pPr>
          </w:p>
        </w:tc>
        <w:tc>
          <w:tcPr>
            <w:tcW w:w="2340" w:type="dxa"/>
          </w:tcPr>
          <w:p w14:paraId="668D0C75" w14:textId="77777777" w:rsidR="00E27CC9" w:rsidRPr="00E64010" w:rsidRDefault="00E27CC9" w:rsidP="00E53CB1">
            <w:pPr>
              <w:rPr>
                <w:rFonts w:cs="Arial"/>
                <w:sz w:val="16"/>
                <w:szCs w:val="16"/>
                <w:lang w:val="es-US"/>
              </w:rPr>
            </w:pPr>
          </w:p>
        </w:tc>
        <w:tc>
          <w:tcPr>
            <w:tcW w:w="2083" w:type="dxa"/>
          </w:tcPr>
          <w:p w14:paraId="4C23D0A0" w14:textId="77777777" w:rsidR="00E27CC9" w:rsidRPr="00E64010" w:rsidRDefault="00E27CC9" w:rsidP="00E53CB1">
            <w:pPr>
              <w:rPr>
                <w:rFonts w:cs="Arial"/>
                <w:sz w:val="16"/>
                <w:szCs w:val="16"/>
                <w:lang w:val="es-US"/>
              </w:rPr>
            </w:pPr>
          </w:p>
        </w:tc>
      </w:tr>
      <w:tr w:rsidR="00E27CC9" w:rsidRPr="00E64010" w14:paraId="79774486" w14:textId="77777777" w:rsidTr="006425AE">
        <w:tc>
          <w:tcPr>
            <w:tcW w:w="1312" w:type="dxa"/>
            <w:shd w:val="clear" w:color="auto" w:fill="auto"/>
          </w:tcPr>
          <w:p w14:paraId="5830E54A" w14:textId="77777777" w:rsidR="00E27CC9" w:rsidRPr="00E64010" w:rsidRDefault="00E27CC9" w:rsidP="00E53CB1">
            <w:pPr>
              <w:jc w:val="center"/>
              <w:rPr>
                <w:rFonts w:cs="Arial"/>
                <w:sz w:val="16"/>
                <w:szCs w:val="16"/>
                <w:lang w:val="es-US"/>
              </w:rPr>
            </w:pPr>
          </w:p>
        </w:tc>
        <w:tc>
          <w:tcPr>
            <w:tcW w:w="4430" w:type="dxa"/>
            <w:shd w:val="clear" w:color="auto" w:fill="auto"/>
          </w:tcPr>
          <w:p w14:paraId="66D924CB" w14:textId="77777777" w:rsidR="00E27CC9" w:rsidRPr="00E64010" w:rsidRDefault="00E27CC9" w:rsidP="00E53CB1">
            <w:pPr>
              <w:pStyle w:val="PlainText"/>
              <w:rPr>
                <w:rFonts w:ascii="Arial" w:hAnsi="Arial" w:cs="Arial"/>
                <w:sz w:val="16"/>
                <w:szCs w:val="16"/>
                <w:lang w:val="es-US"/>
              </w:rPr>
            </w:pPr>
          </w:p>
        </w:tc>
        <w:tc>
          <w:tcPr>
            <w:tcW w:w="2340" w:type="dxa"/>
          </w:tcPr>
          <w:p w14:paraId="33656294" w14:textId="77777777" w:rsidR="00E27CC9" w:rsidRPr="00E64010" w:rsidRDefault="00E27CC9" w:rsidP="00E53CB1">
            <w:pPr>
              <w:rPr>
                <w:rFonts w:cs="Arial"/>
                <w:sz w:val="16"/>
                <w:szCs w:val="16"/>
                <w:lang w:val="es-US"/>
              </w:rPr>
            </w:pPr>
          </w:p>
        </w:tc>
        <w:tc>
          <w:tcPr>
            <w:tcW w:w="2083" w:type="dxa"/>
          </w:tcPr>
          <w:p w14:paraId="538391A5" w14:textId="77777777" w:rsidR="00E27CC9" w:rsidRPr="00E64010" w:rsidRDefault="00E27CC9" w:rsidP="00E53CB1">
            <w:pPr>
              <w:rPr>
                <w:rFonts w:cs="Arial"/>
                <w:sz w:val="16"/>
                <w:szCs w:val="16"/>
                <w:lang w:val="es-US"/>
              </w:rPr>
            </w:pPr>
          </w:p>
        </w:tc>
      </w:tr>
      <w:tr w:rsidR="00E27CC9" w:rsidRPr="00E64010" w14:paraId="46854960" w14:textId="77777777" w:rsidTr="006425AE">
        <w:tc>
          <w:tcPr>
            <w:tcW w:w="1312" w:type="dxa"/>
            <w:shd w:val="clear" w:color="auto" w:fill="auto"/>
          </w:tcPr>
          <w:p w14:paraId="6F8CC3DC" w14:textId="77777777" w:rsidR="00E27CC9" w:rsidRPr="00E64010" w:rsidRDefault="00E27CC9" w:rsidP="00E53CB1">
            <w:pPr>
              <w:jc w:val="center"/>
              <w:rPr>
                <w:rFonts w:cs="Arial"/>
                <w:sz w:val="16"/>
                <w:szCs w:val="16"/>
                <w:lang w:val="es-US"/>
              </w:rPr>
            </w:pPr>
          </w:p>
        </w:tc>
        <w:tc>
          <w:tcPr>
            <w:tcW w:w="4430" w:type="dxa"/>
            <w:shd w:val="clear" w:color="auto" w:fill="auto"/>
          </w:tcPr>
          <w:p w14:paraId="0642C071" w14:textId="77777777" w:rsidR="00E27CC9" w:rsidRPr="00E64010" w:rsidRDefault="00E27CC9" w:rsidP="00E53CB1">
            <w:pPr>
              <w:pStyle w:val="PlainText"/>
              <w:rPr>
                <w:rFonts w:ascii="Arial" w:hAnsi="Arial" w:cs="Arial"/>
                <w:sz w:val="16"/>
                <w:szCs w:val="16"/>
                <w:lang w:val="es-US"/>
              </w:rPr>
            </w:pPr>
          </w:p>
        </w:tc>
        <w:tc>
          <w:tcPr>
            <w:tcW w:w="2340" w:type="dxa"/>
          </w:tcPr>
          <w:p w14:paraId="49DD69B8" w14:textId="77777777" w:rsidR="00E27CC9" w:rsidRPr="00E64010" w:rsidRDefault="00E27CC9" w:rsidP="00E53CB1">
            <w:pPr>
              <w:rPr>
                <w:rFonts w:cs="Arial"/>
                <w:sz w:val="16"/>
                <w:szCs w:val="16"/>
                <w:lang w:val="es-US"/>
              </w:rPr>
            </w:pPr>
          </w:p>
        </w:tc>
        <w:tc>
          <w:tcPr>
            <w:tcW w:w="2083" w:type="dxa"/>
          </w:tcPr>
          <w:p w14:paraId="4E2D9A4D" w14:textId="77777777" w:rsidR="00E27CC9" w:rsidRPr="00E64010" w:rsidRDefault="00E27CC9" w:rsidP="00E53CB1">
            <w:pPr>
              <w:rPr>
                <w:rFonts w:cs="Arial"/>
                <w:sz w:val="16"/>
                <w:szCs w:val="16"/>
                <w:lang w:val="es-US"/>
              </w:rPr>
            </w:pPr>
          </w:p>
        </w:tc>
      </w:tr>
      <w:tr w:rsidR="00E27CC9" w:rsidRPr="00E64010" w14:paraId="46543C65" w14:textId="77777777" w:rsidTr="006425AE">
        <w:tc>
          <w:tcPr>
            <w:tcW w:w="1312" w:type="dxa"/>
            <w:shd w:val="clear" w:color="auto" w:fill="auto"/>
          </w:tcPr>
          <w:p w14:paraId="025CB3B5" w14:textId="77777777" w:rsidR="00E27CC9" w:rsidRPr="00E64010" w:rsidRDefault="00E27CC9" w:rsidP="00E53CB1">
            <w:pPr>
              <w:jc w:val="center"/>
              <w:rPr>
                <w:rFonts w:cs="Arial"/>
                <w:sz w:val="16"/>
                <w:szCs w:val="16"/>
                <w:lang w:val="es-US"/>
              </w:rPr>
            </w:pPr>
          </w:p>
        </w:tc>
        <w:tc>
          <w:tcPr>
            <w:tcW w:w="4430" w:type="dxa"/>
            <w:shd w:val="clear" w:color="auto" w:fill="auto"/>
          </w:tcPr>
          <w:p w14:paraId="3966D356" w14:textId="77777777" w:rsidR="00E27CC9" w:rsidRPr="00E64010" w:rsidRDefault="00E27CC9" w:rsidP="00E53CB1">
            <w:pPr>
              <w:pStyle w:val="PlainText"/>
              <w:rPr>
                <w:rFonts w:ascii="Arial" w:hAnsi="Arial" w:cs="Arial"/>
                <w:sz w:val="16"/>
                <w:szCs w:val="16"/>
                <w:lang w:val="es-US"/>
              </w:rPr>
            </w:pPr>
          </w:p>
        </w:tc>
        <w:tc>
          <w:tcPr>
            <w:tcW w:w="2340" w:type="dxa"/>
          </w:tcPr>
          <w:p w14:paraId="38C66702" w14:textId="77777777" w:rsidR="00E27CC9" w:rsidRPr="00E64010" w:rsidRDefault="00E27CC9" w:rsidP="00E53CB1">
            <w:pPr>
              <w:rPr>
                <w:rFonts w:cs="Arial"/>
                <w:sz w:val="16"/>
                <w:szCs w:val="16"/>
                <w:lang w:val="es-US"/>
              </w:rPr>
            </w:pPr>
          </w:p>
        </w:tc>
        <w:tc>
          <w:tcPr>
            <w:tcW w:w="2083" w:type="dxa"/>
          </w:tcPr>
          <w:p w14:paraId="2E6A7D43" w14:textId="77777777" w:rsidR="00E27CC9" w:rsidRPr="00E64010" w:rsidRDefault="00E27CC9" w:rsidP="00E53CB1">
            <w:pPr>
              <w:rPr>
                <w:rFonts w:cs="Arial"/>
                <w:sz w:val="16"/>
                <w:szCs w:val="16"/>
                <w:lang w:val="es-US"/>
              </w:rPr>
            </w:pPr>
          </w:p>
        </w:tc>
      </w:tr>
    </w:tbl>
    <w:p w14:paraId="052C6886" w14:textId="400DD8B4" w:rsidR="0021431C" w:rsidRPr="00E64010" w:rsidRDefault="0021431C" w:rsidP="003C1B5F">
      <w:pPr>
        <w:pStyle w:val="Heading1"/>
        <w:rPr>
          <w:lang w:val="es-US"/>
        </w:rPr>
      </w:pPr>
      <w:r w:rsidRPr="00E64010">
        <w:rPr>
          <w:bCs/>
          <w:lang w:val="es-US"/>
        </w:rPr>
        <w:br w:type="page"/>
      </w:r>
    </w:p>
    <w:p w14:paraId="29EF9893" w14:textId="2756F59F" w:rsidR="00E607A6" w:rsidRPr="00E64010" w:rsidRDefault="00E607A6" w:rsidP="007A6B6C">
      <w:pPr>
        <w:pStyle w:val="Heading1"/>
        <w:rPr>
          <w:lang w:val="es-US"/>
        </w:rPr>
      </w:pPr>
      <w:bookmarkStart w:id="1" w:name="_Toc83281162"/>
      <w:r w:rsidRPr="00E64010">
        <w:rPr>
          <w:bCs/>
          <w:lang w:val="es-US"/>
        </w:rPr>
        <w:lastRenderedPageBreak/>
        <w:t>Resumen ejecutivo</w:t>
      </w:r>
      <w:bookmarkEnd w:id="1"/>
    </w:p>
    <w:p w14:paraId="7A7DC215" w14:textId="77777777" w:rsidR="00E607A6" w:rsidRPr="00E64010" w:rsidRDefault="00E607A6" w:rsidP="00E607A6">
      <w:pPr>
        <w:ind w:left="720" w:hanging="360"/>
        <w:rPr>
          <w:lang w:val="es-US"/>
        </w:rPr>
      </w:pPr>
    </w:p>
    <w:p w14:paraId="3AF3A8F4" w14:textId="47642C41" w:rsidR="00C75F35" w:rsidRPr="00E64010" w:rsidRDefault="00E607A6" w:rsidP="00033BB6">
      <w:pPr>
        <w:ind w:firstLine="410"/>
        <w:rPr>
          <w:lang w:val="es-US"/>
        </w:rPr>
      </w:pPr>
      <w:r w:rsidRPr="00E64010">
        <w:rPr>
          <w:lang w:val="es-US"/>
        </w:rPr>
        <w:t>El propósito de este documento es detallar el marco de trabajo de Salud Pública de Austin para establecer un balance entre el acceso equitativo, la prestación de servicios y la demanda de vacunas tomando en cuenta las preocupaciones actuales tales como:</w:t>
      </w:r>
    </w:p>
    <w:p w14:paraId="67419BF9" w14:textId="0EAA42F5" w:rsidR="005B30A9" w:rsidRPr="00E64010" w:rsidRDefault="005B30A9" w:rsidP="007A6B6C">
      <w:pPr>
        <w:pStyle w:val="ListParagraph"/>
        <w:numPr>
          <w:ilvl w:val="0"/>
          <w:numId w:val="9"/>
        </w:numPr>
        <w:rPr>
          <w:lang w:val="es-US"/>
        </w:rPr>
      </w:pPr>
      <w:r w:rsidRPr="00E64010">
        <w:rPr>
          <w:lang w:val="es-US"/>
        </w:rPr>
        <w:t>Renuencia continua a la vacuna en las comunidades</w:t>
      </w:r>
    </w:p>
    <w:p w14:paraId="656C8CED" w14:textId="6DDBCB2B" w:rsidR="005B30A9" w:rsidRPr="00E64010" w:rsidRDefault="005B30A9" w:rsidP="007A6B6C">
      <w:pPr>
        <w:pStyle w:val="ListParagraph"/>
        <w:numPr>
          <w:ilvl w:val="0"/>
          <w:numId w:val="9"/>
        </w:numPr>
        <w:rPr>
          <w:lang w:val="es-US"/>
        </w:rPr>
      </w:pPr>
      <w:r w:rsidRPr="00E64010">
        <w:rPr>
          <w:lang w:val="es-US"/>
        </w:rPr>
        <w:t>Falta de equidad en la administración de vacunas</w:t>
      </w:r>
    </w:p>
    <w:p w14:paraId="5A33CB94" w14:textId="69CA4EF9" w:rsidR="00E607A6" w:rsidRPr="00E64010" w:rsidRDefault="00570505" w:rsidP="007A6B6C">
      <w:pPr>
        <w:pStyle w:val="ListParagraph"/>
        <w:numPr>
          <w:ilvl w:val="0"/>
          <w:numId w:val="9"/>
        </w:numPr>
        <w:rPr>
          <w:lang w:val="es-US"/>
        </w:rPr>
      </w:pPr>
      <w:r w:rsidRPr="00E64010">
        <w:rPr>
          <w:lang w:val="es-US"/>
        </w:rPr>
        <w:t>Aprobación de dosis de refuerzo de la vacuna contra el COVID-19</w:t>
      </w:r>
    </w:p>
    <w:p w14:paraId="41004983" w14:textId="5DC0AD5B" w:rsidR="00C75F35" w:rsidRPr="00E64010" w:rsidRDefault="00C75F35" w:rsidP="007A6B6C">
      <w:pPr>
        <w:pStyle w:val="ListParagraph"/>
        <w:numPr>
          <w:ilvl w:val="0"/>
          <w:numId w:val="9"/>
        </w:numPr>
        <w:rPr>
          <w:lang w:val="es-US"/>
        </w:rPr>
      </w:pPr>
      <w:r w:rsidRPr="00E64010">
        <w:rPr>
          <w:lang w:val="es-US"/>
        </w:rPr>
        <w:t>Aprobación esperada de una vacuna contra el COVID-19 para niños menores de 12 años</w:t>
      </w:r>
    </w:p>
    <w:p w14:paraId="139C220B" w14:textId="4966F5B1" w:rsidR="003E7728" w:rsidRPr="00E64010" w:rsidRDefault="003E7728" w:rsidP="13B1B8EA">
      <w:pPr>
        <w:rPr>
          <w:lang w:val="es-US"/>
        </w:rPr>
      </w:pPr>
    </w:p>
    <w:p w14:paraId="27A9D793" w14:textId="77777777" w:rsidR="004A44A1" w:rsidRPr="00E64010" w:rsidRDefault="004A44A1" w:rsidP="004A44A1">
      <w:pPr>
        <w:ind w:firstLine="410"/>
        <w:rPr>
          <w:rStyle w:val="normaltextrun"/>
          <w:rFonts w:ascii="Calibri" w:hAnsi="Calibri" w:cs="Calibri"/>
          <w:color w:val="000000"/>
          <w:shd w:val="clear" w:color="auto" w:fill="FFFFFF"/>
          <w:lang w:val="es-US"/>
        </w:rPr>
      </w:pPr>
      <w:r w:rsidRPr="00E64010">
        <w:rPr>
          <w:rStyle w:val="normaltextrun"/>
          <w:rFonts w:ascii="Calibri" w:hAnsi="Calibri" w:cs="Calibri"/>
          <w:color w:val="000000"/>
          <w:shd w:val="clear" w:color="auto" w:fill="FFFFFF"/>
          <w:lang w:val="es-US"/>
        </w:rPr>
        <w:t xml:space="preserve">En enero de 2021, Salud Pública de Austin fue designada como centro estatal para proveer vacunas contra el COVID-19 a los residentes de Texas según los requisitos para calificar. Para ayudar con el acceso a la vacuna, Salud Pública de Austin estableció centros de vacunación en masa, además de iniciar el Programa de Vacunación Móvil, colaborando con socios comunitarios para crear clínicas de vacunación contra el COVID-19 en las comunidades. Como consecuencia de las cambiantes demandas a la respuesta de vacunación, Salud Pública de Austin y el Comité de Planificación de Vacunas han redactado principios guía adicionales (figura 1) para que sirvan de base para los esfuerzos continuos que se están llevando a cabo en la comunidad. </w:t>
      </w:r>
    </w:p>
    <w:p w14:paraId="4C16F460" w14:textId="77777777" w:rsidR="004A44A1" w:rsidRPr="00E64010" w:rsidRDefault="004A44A1" w:rsidP="13B1B8EA">
      <w:pPr>
        <w:rPr>
          <w:lang w:val="es-US"/>
        </w:rPr>
      </w:pPr>
    </w:p>
    <w:p w14:paraId="7A0BCE97" w14:textId="12EDF58B" w:rsidR="0009086E" w:rsidRPr="00E64010" w:rsidRDefault="00A46886" w:rsidP="0009086E">
      <w:pPr>
        <w:rPr>
          <w:lang w:val="es-US"/>
        </w:rPr>
      </w:pPr>
      <w:r>
        <w:rPr>
          <w:noProof/>
        </w:rPr>
        <w:drawing>
          <wp:inline distT="0" distB="0" distL="0" distR="0" wp14:anchorId="64AD7290" wp14:editId="66FC94E2">
            <wp:extent cx="5943600" cy="334391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3343910"/>
                    </a:xfrm>
                    <a:prstGeom prst="rect">
                      <a:avLst/>
                    </a:prstGeom>
                    <a:noFill/>
                    <a:ln>
                      <a:noFill/>
                    </a:ln>
                  </pic:spPr>
                </pic:pic>
              </a:graphicData>
            </a:graphic>
          </wp:inline>
        </w:drawing>
      </w:r>
    </w:p>
    <w:p w14:paraId="0E3CDFFA" w14:textId="59625533" w:rsidR="008E10F4" w:rsidRPr="00E64010" w:rsidRDefault="008E10F4" w:rsidP="0009086E">
      <w:pPr>
        <w:rPr>
          <w:i/>
          <w:iCs/>
          <w:sz w:val="18"/>
          <w:szCs w:val="18"/>
          <w:lang w:val="es-US"/>
        </w:rPr>
      </w:pPr>
      <w:r w:rsidRPr="00E64010">
        <w:rPr>
          <w:i/>
          <w:iCs/>
          <w:sz w:val="18"/>
          <w:szCs w:val="18"/>
          <w:lang w:val="es-US"/>
        </w:rPr>
        <w:t>Figura 1</w:t>
      </w:r>
    </w:p>
    <w:p w14:paraId="1AEB0299" w14:textId="08732FE9" w:rsidR="002E59A7" w:rsidRPr="00E64010" w:rsidRDefault="00AB071A" w:rsidP="00A639A7">
      <w:pPr>
        <w:ind w:firstLine="720"/>
        <w:rPr>
          <w:lang w:val="es-US"/>
        </w:rPr>
      </w:pPr>
      <w:r w:rsidRPr="00E64010">
        <w:rPr>
          <w:lang w:val="es-US"/>
        </w:rPr>
        <w:lastRenderedPageBreak/>
        <w:t xml:space="preserve">Las vacunas contra el COVID-19 están disponibles para todos los residentes del área capital a través de proveedores privados, farmacias y organizaciones de salud públicas. En general, el suministro de la vacuna contra el COVID-19 ha sobrepasado la demanda y, para el 4 de julio de 2021, más del 70% de los residentes del Condado de Travis que califican han recibido al menos una dosis de una de las vacunas contra el COVID-19. </w:t>
      </w:r>
    </w:p>
    <w:p w14:paraId="78A4D27E" w14:textId="397304A1" w:rsidR="007A3E8B" w:rsidRPr="00E64010" w:rsidRDefault="007A3E8B" w:rsidP="00A639A7">
      <w:pPr>
        <w:ind w:firstLine="720"/>
        <w:rPr>
          <w:lang w:val="es-US"/>
        </w:rPr>
      </w:pPr>
      <w:r w:rsidRPr="00E64010">
        <w:rPr>
          <w:lang w:val="es-US"/>
        </w:rPr>
        <w:t xml:space="preserve">Salud Pública de Austin continuará monitoreando la captación y cobertura de la vacuna contra el COVID-19 en las poblaciones en alto riesgo y mejorando las estrategias actuales para llegar a las poblaciones con baja captación o cobertura de la vacuna. Además, APH está preparándose para la tercera dosis y pondrá en práctica medidas basadas en lo aprendido durante los esfuerzos de vacunación de la primera y segunda dosis. </w:t>
      </w:r>
    </w:p>
    <w:p w14:paraId="32CC46B9" w14:textId="77777777" w:rsidR="00F96E4A" w:rsidRPr="00E64010" w:rsidRDefault="00F96E4A">
      <w:pPr>
        <w:rPr>
          <w:lang w:val="es-US"/>
        </w:rPr>
      </w:pPr>
    </w:p>
    <w:p w14:paraId="22E8DC50" w14:textId="32BB3039" w:rsidR="008E5CFA" w:rsidRPr="00E64010" w:rsidRDefault="008E5CFA" w:rsidP="008E5CFA">
      <w:pPr>
        <w:pStyle w:val="Heading1"/>
        <w:rPr>
          <w:lang w:val="es-US"/>
        </w:rPr>
      </w:pPr>
      <w:bookmarkStart w:id="2" w:name="_Toc83281163"/>
      <w:r w:rsidRPr="00E64010">
        <w:rPr>
          <w:bCs/>
          <w:lang w:val="es-US"/>
        </w:rPr>
        <w:t>Sección 1: Campaña de educación y alcance comunitario del Programa de Vacunación contra el COVID-19</w:t>
      </w:r>
      <w:bookmarkEnd w:id="2"/>
      <w:r w:rsidRPr="00E64010">
        <w:rPr>
          <w:bCs/>
          <w:lang w:val="es-US"/>
        </w:rPr>
        <w:t xml:space="preserve"> </w:t>
      </w:r>
    </w:p>
    <w:p w14:paraId="07163D9B" w14:textId="77777777" w:rsidR="00D37B6A" w:rsidRPr="00E64010" w:rsidRDefault="00D37B6A" w:rsidP="00A639A7">
      <w:pPr>
        <w:rPr>
          <w:lang w:val="es-US"/>
        </w:rPr>
      </w:pPr>
    </w:p>
    <w:p w14:paraId="1499E163" w14:textId="156792C4" w:rsidR="008E5CFA" w:rsidRPr="00E64010" w:rsidRDefault="00D5519E" w:rsidP="00A639A7">
      <w:pPr>
        <w:spacing w:line="257" w:lineRule="auto"/>
        <w:ind w:firstLine="360"/>
        <w:rPr>
          <w:rFonts w:ascii="Calibri" w:eastAsia="Calibri" w:hAnsi="Calibri" w:cs="Calibri"/>
          <w:lang w:val="es-US"/>
        </w:rPr>
      </w:pPr>
      <w:r w:rsidRPr="00E64010">
        <w:rPr>
          <w:rFonts w:ascii="Calibri" w:eastAsia="Calibri" w:hAnsi="Calibri" w:cs="Calibri"/>
          <w:lang w:val="es-US"/>
        </w:rPr>
        <w:t xml:space="preserve">APH inició una campaña educativa integral de múltiples puntos aplicando una perspectiva de equidad en la salud que toma en consideración las necesidades culturales y lingüísticas de la comunidad de Austin/Condado de Travis.  Los esfuerzos de alcance comunitario se enfocan en aquellas personas que están en mayor riesgo de enfermarse de gravedad y en asociarnos con grupos comunitarios, proveedores de vacunas y la División de Servicios Sociales del Centro de Operaciones de Emergencia (EOC, en inglés) para dirigir la activación conjunta y hacer conexiones con los grupos que se han visto afectados de manera desproporcionada por la pandemia, los que tienen acceso limitado a la vacuna, las poblaciones difíciles de alcanzar y los que dudan de ponerse la vacuna. La campaña seguirá un enfoque por fases que sigue el patrón de las fases de distribución de la vacuna que ha detallado el CDC. </w:t>
      </w:r>
    </w:p>
    <w:p w14:paraId="6E685C51" w14:textId="1FCAF9C5" w:rsidR="008E5CFA" w:rsidRPr="00E64010" w:rsidRDefault="008E5CFA" w:rsidP="008E5CFA">
      <w:pPr>
        <w:pStyle w:val="ListParagraph"/>
        <w:numPr>
          <w:ilvl w:val="0"/>
          <w:numId w:val="3"/>
        </w:numPr>
        <w:rPr>
          <w:rFonts w:eastAsiaTheme="minorEastAsia"/>
          <w:lang w:val="es-US"/>
        </w:rPr>
      </w:pPr>
      <w:r w:rsidRPr="00E64010">
        <w:rPr>
          <w:b/>
          <w:bCs/>
          <w:lang w:val="es-US"/>
        </w:rPr>
        <w:t>Fase 1:</w:t>
      </w:r>
      <w:r w:rsidRPr="00E64010">
        <w:rPr>
          <w:lang w:val="es-US"/>
        </w:rPr>
        <w:t xml:space="preserve"> El mensaje de la campaña se enfocará en </w:t>
      </w:r>
      <w:r w:rsidRPr="00E64010">
        <w:rPr>
          <w:i/>
          <w:iCs/>
          <w:lang w:val="es-US"/>
        </w:rPr>
        <w:t>1) establecer expectativas</w:t>
      </w:r>
      <w:r w:rsidRPr="00E64010">
        <w:rPr>
          <w:lang w:val="es-US"/>
        </w:rPr>
        <w:t xml:space="preserve"> pues el suministro i</w:t>
      </w:r>
      <w:r w:rsidRPr="00E64010">
        <w:rPr>
          <w:rFonts w:ascii="Calibri" w:hAnsi="Calibri"/>
          <w:lang w:val="es-US"/>
        </w:rPr>
        <w:t xml:space="preserve">nicial de la vacuna contra el COVID-19 será limitado y </w:t>
      </w:r>
      <w:r w:rsidRPr="00E64010">
        <w:rPr>
          <w:rFonts w:ascii="Calibri" w:hAnsi="Calibri"/>
          <w:i/>
          <w:iCs/>
          <w:lang w:val="es-US"/>
        </w:rPr>
        <w:t>2) continuación de precauciones</w:t>
      </w:r>
      <w:r w:rsidRPr="00E64010">
        <w:rPr>
          <w:rFonts w:ascii="Calibri" w:hAnsi="Calibri"/>
          <w:lang w:val="es-US"/>
        </w:rPr>
        <w:t xml:space="preserve"> como el distanciamiento social, uso de mascarillas e higiene.  </w:t>
      </w:r>
    </w:p>
    <w:p w14:paraId="34AA88F6" w14:textId="25C88382" w:rsidR="008E5CFA" w:rsidRPr="00E64010" w:rsidRDefault="008E5CFA" w:rsidP="008E5CFA">
      <w:pPr>
        <w:pStyle w:val="ListParagraph"/>
        <w:numPr>
          <w:ilvl w:val="0"/>
          <w:numId w:val="3"/>
        </w:numPr>
        <w:rPr>
          <w:b/>
          <w:bCs/>
          <w:lang w:val="es-US"/>
        </w:rPr>
      </w:pPr>
      <w:r w:rsidRPr="00E64010">
        <w:rPr>
          <w:b/>
          <w:bCs/>
          <w:lang w:val="es-US"/>
        </w:rPr>
        <w:t>Fase 2:</w:t>
      </w:r>
      <w:r w:rsidRPr="00E64010">
        <w:rPr>
          <w:lang w:val="es-US"/>
        </w:rPr>
        <w:t xml:space="preserve"> El mensaje de la campaña se enfocará en </w:t>
      </w:r>
      <w:r w:rsidRPr="00E64010">
        <w:rPr>
          <w:i/>
          <w:iCs/>
          <w:lang w:val="es-US"/>
        </w:rPr>
        <w:t xml:space="preserve">1) educación de los pacientes, </w:t>
      </w:r>
      <w:r w:rsidRPr="00E64010">
        <w:rPr>
          <w:lang w:val="es-US"/>
        </w:rPr>
        <w:t xml:space="preserve">como estándares de seguridad, requisitos de las dosis y la respuesta inmunológica y </w:t>
      </w:r>
      <w:r w:rsidRPr="00E64010">
        <w:rPr>
          <w:i/>
          <w:iCs/>
          <w:lang w:val="es-US"/>
        </w:rPr>
        <w:t>2) detalles operacionales</w:t>
      </w:r>
      <w:r w:rsidRPr="00E64010">
        <w:rPr>
          <w:lang w:val="es-US"/>
        </w:rPr>
        <w:t xml:space="preserve"> incluyendo las ubicaciones de los proveedores y la disponibilidad de vacuna.</w:t>
      </w:r>
    </w:p>
    <w:p w14:paraId="0D5510D3" w14:textId="6FCA9E44" w:rsidR="008E5CFA" w:rsidRPr="00E64010" w:rsidRDefault="008E5CFA" w:rsidP="008E5CFA">
      <w:pPr>
        <w:pStyle w:val="ListParagraph"/>
        <w:numPr>
          <w:ilvl w:val="0"/>
          <w:numId w:val="3"/>
        </w:numPr>
        <w:rPr>
          <w:b/>
          <w:lang w:val="es-US"/>
        </w:rPr>
      </w:pPr>
      <w:r w:rsidRPr="00E64010">
        <w:rPr>
          <w:b/>
          <w:bCs/>
          <w:lang w:val="es-US"/>
        </w:rPr>
        <w:t xml:space="preserve">Fase 3: </w:t>
      </w:r>
      <w:r w:rsidRPr="00E64010">
        <w:rPr>
          <w:lang w:val="es-US"/>
        </w:rPr>
        <w:t xml:space="preserve">El mensaje de la campaña continuará enfocándose en </w:t>
      </w:r>
      <w:r w:rsidRPr="00E64010">
        <w:rPr>
          <w:i/>
          <w:iCs/>
          <w:lang w:val="es-US"/>
        </w:rPr>
        <w:t>1) educación de los pacientes,</w:t>
      </w:r>
      <w:r w:rsidRPr="00E64010">
        <w:rPr>
          <w:lang w:val="es-US"/>
        </w:rPr>
        <w:t xml:space="preserve"> </w:t>
      </w:r>
      <w:r w:rsidRPr="00E64010">
        <w:rPr>
          <w:i/>
          <w:iCs/>
          <w:lang w:val="es-US"/>
        </w:rPr>
        <w:t>2) detalles operacionales</w:t>
      </w:r>
      <w:r w:rsidRPr="00E64010">
        <w:rPr>
          <w:lang w:val="es-US"/>
        </w:rPr>
        <w:t xml:space="preserve"> para enfatizar la seguridad de la vacuna y los requisitos de las dosis y </w:t>
      </w:r>
      <w:r w:rsidRPr="00E64010">
        <w:rPr>
          <w:i/>
          <w:iCs/>
          <w:lang w:val="es-US"/>
        </w:rPr>
        <w:t>3) medición estadística de esperanza</w:t>
      </w:r>
      <w:r w:rsidRPr="00E64010">
        <w:rPr>
          <w:lang w:val="es-US"/>
        </w:rPr>
        <w:t xml:space="preserve"> como guía para regresar a la normalidad a través de aceptación de la vacuna e inmunidad colectiva.</w:t>
      </w:r>
    </w:p>
    <w:p w14:paraId="13731EC2" w14:textId="2B4268CB" w:rsidR="008E5CFA" w:rsidRPr="00E64010" w:rsidRDefault="008E5CFA" w:rsidP="008E5CFA">
      <w:pPr>
        <w:pStyle w:val="ListParagraph"/>
        <w:numPr>
          <w:ilvl w:val="0"/>
          <w:numId w:val="3"/>
        </w:numPr>
        <w:rPr>
          <w:b/>
          <w:bCs/>
          <w:lang w:val="es-US"/>
        </w:rPr>
      </w:pPr>
      <w:r w:rsidRPr="00E64010">
        <w:rPr>
          <w:b/>
          <w:bCs/>
          <w:lang w:val="es-US"/>
        </w:rPr>
        <w:t xml:space="preserve">Fase 4: </w:t>
      </w:r>
      <w:r w:rsidRPr="00E64010">
        <w:rPr>
          <w:lang w:val="es-US"/>
        </w:rPr>
        <w:t xml:space="preserve">El mensaje de la campaña continuará enfocándose en </w:t>
      </w:r>
      <w:r w:rsidRPr="00E64010">
        <w:rPr>
          <w:i/>
          <w:iCs/>
          <w:lang w:val="es-US"/>
        </w:rPr>
        <w:t>1) educación a la comunidad</w:t>
      </w:r>
      <w:r w:rsidRPr="00E64010">
        <w:rPr>
          <w:lang w:val="es-US"/>
        </w:rPr>
        <w:t xml:space="preserve">  para animar a la gente a vacunarse </w:t>
      </w:r>
      <w:r w:rsidRPr="00E64010">
        <w:rPr>
          <w:i/>
          <w:iCs/>
          <w:lang w:val="es-US"/>
        </w:rPr>
        <w:t>2) detalles operacionales</w:t>
      </w:r>
      <w:r w:rsidRPr="00E64010">
        <w:rPr>
          <w:lang w:val="es-US"/>
        </w:rPr>
        <w:t xml:space="preserve"> para darles incentivos a los que no están vacunados para que se vacunen y expandir las operaciones para aumentar la capacidad para ofrecer la tercera dosis, </w:t>
      </w:r>
      <w:r w:rsidRPr="00E64010">
        <w:rPr>
          <w:i/>
          <w:iCs/>
          <w:lang w:val="es-US"/>
        </w:rPr>
        <w:t xml:space="preserve">3) continuación de precauciones </w:t>
      </w:r>
      <w:r w:rsidRPr="00E64010">
        <w:rPr>
          <w:lang w:val="es-US"/>
        </w:rPr>
        <w:t xml:space="preserve">como el uso de mascarilla, higiene </w:t>
      </w:r>
      <w:r w:rsidRPr="00E64010">
        <w:rPr>
          <w:lang w:val="es-US"/>
        </w:rPr>
        <w:lastRenderedPageBreak/>
        <w:t xml:space="preserve">adecuada y evitar grupos grandes y </w:t>
      </w:r>
      <w:r w:rsidRPr="00E64010">
        <w:rPr>
          <w:i/>
          <w:iCs/>
          <w:lang w:val="es-US"/>
        </w:rPr>
        <w:t>4) medición estadística de esperanza</w:t>
      </w:r>
      <w:r w:rsidRPr="00E64010">
        <w:rPr>
          <w:lang w:val="es-US"/>
        </w:rPr>
        <w:t xml:space="preserve"> como guía para regresar a la normalidad a través de aceptación de la vacuna e inmunidad colectiva.</w:t>
      </w:r>
    </w:p>
    <w:p w14:paraId="71131847" w14:textId="33436462" w:rsidR="00450740" w:rsidRPr="00E64010" w:rsidRDefault="00450740" w:rsidP="195A67CE">
      <w:pPr>
        <w:rPr>
          <w:b/>
          <w:bCs/>
          <w:lang w:val="es-US"/>
        </w:rPr>
      </w:pPr>
    </w:p>
    <w:p w14:paraId="5AC03857" w14:textId="7D1F595E" w:rsidR="005176F9" w:rsidRPr="00E64010" w:rsidRDefault="005176F9" w:rsidP="0058021E">
      <w:pPr>
        <w:ind w:firstLine="360"/>
        <w:rPr>
          <w:lang w:val="es-US"/>
        </w:rPr>
      </w:pPr>
      <w:r w:rsidRPr="00E64010">
        <w:rPr>
          <w:lang w:val="es-US"/>
        </w:rPr>
        <w:t>Con el apoyo del equipo de Investigación y Planificación del Programa de Educación y Vacunación de APH estamos recopilando datos usando encuestas públicas. Las encuestas cubren preguntas como la ubicación del participante, sus creencias sobre la vacuna y el COVID-19 e información demográfica. Los datos recopilados sobre la vacuna se analizan por raza, origen étnico, código postal y datos cualitativos sobre su preparación para la vacuna. Los datos de estas encuestas y los datos locales de salud sobre el COVID-19 se usan como información base para las estrategias de educación y las estrategias para abordar las dudas sobre la vacuna y para identificar las poblaciones afectadas de manera desproporcionada por el COVID-19. Los resultados se añadirán a las prácticas actuales usadas como información base tanto para los esfuerzos de promoción pública como las intervenciones dirigidas que el Equipo de Educación de COVID-19 de APH ha asumido. El Equipo de Educación coordina con los equipos tácticos del Programa de Vacunación Móvil de APH para llegar a las poblaciones que dudan de la vacuna ofreciendo eventos educativos o grupos focales para abordar las inquietudes, responder preguntas, combatir la falta de información y animar a que se vacunen.</w:t>
      </w:r>
    </w:p>
    <w:p w14:paraId="6577D386" w14:textId="47246840" w:rsidR="00AE7FA7" w:rsidRPr="00E64010" w:rsidRDefault="00AD4C7E" w:rsidP="0058021E">
      <w:pPr>
        <w:ind w:firstLine="360"/>
        <w:rPr>
          <w:lang w:val="es-US"/>
        </w:rPr>
      </w:pPr>
      <w:r w:rsidRPr="00E64010">
        <w:rPr>
          <w:lang w:val="es-US"/>
        </w:rPr>
        <w:t xml:space="preserve">La Comisión Especial de Equidad en la Salud continúa trabajando con el Programa de Educación y Vacunación contra el COVID-19 para llevar recursos de vacunación a los códigos postales donde haya menos del 50% de vacunación con la primera dosis.  Los eventos de alcance comunitario continúan siendo una herramienta importante para apoyar los comportamientos de protección, satisfacer las necesidades básicas y proveer información sobre la vacuna contra el COVID-19.  </w:t>
      </w:r>
    </w:p>
    <w:p w14:paraId="5A6F1BAB" w14:textId="77777777" w:rsidR="0004016D" w:rsidRPr="00E64010" w:rsidRDefault="00AE7FA7" w:rsidP="00C3573C">
      <w:pPr>
        <w:ind w:firstLine="360"/>
        <w:rPr>
          <w:lang w:val="es-US"/>
        </w:rPr>
      </w:pPr>
      <w:r w:rsidRPr="00E64010">
        <w:rPr>
          <w:lang w:val="es-US"/>
        </w:rPr>
        <w:t xml:space="preserve">Salud Pública de Austin también está promoviendo las vacunas usando mensajes enfocados y publicidad pagada y estableciendo sociedades estratégicas. Por ejemplo, Salud Pública de Austin se asoció con el Condado de Travis, Central Health y CommUnityCare para lanzar la iniciativa "Let’s Stick Together" (permanezcamos juntos) el 28 de junio. La iniciativa se enfoca en lograr la meta dirigida a la comunidad de lograr que el 70% de los residentes que califican para recibir la vacuna en el Condado de Travis recibieran al menos una dosis de la vacuna antes del 4 de julio y que el 70% de los residentes se vacunara totalmente antes del 6 de septiembre. Otras organizaciones locales participaron para contribuir a la iniciativa, incluyendo a Ascension Seton, al Distrito Escolar Independiente de Austin, Baylor Scott &amp; White, Capital Metro, la Escuela de Medicina Dell, el Distrito Escolar Independiente de Del Valle, Integral Care, Lone Star Circle of Care, People’s Community Clinic, St. David’s HealthCare, la Fundación St. David’s y la Universidad de Texas en Austin. Como parte de la iniciativa "Let’s Stick Together", Salud Pública de Austin y Central Health pautaron anuncios dirigidos en la radio, medios impresos y en línea tanto en inglés como en español. </w:t>
      </w:r>
    </w:p>
    <w:p w14:paraId="098ED463" w14:textId="5344F7EE" w:rsidR="00324484" w:rsidRPr="00E64010" w:rsidRDefault="00AE7FA7" w:rsidP="0058021E">
      <w:pPr>
        <w:ind w:firstLine="360"/>
        <w:rPr>
          <w:lang w:val="es-US"/>
        </w:rPr>
      </w:pPr>
      <w:r w:rsidRPr="00E64010">
        <w:rPr>
          <w:lang w:val="es-US"/>
        </w:rPr>
        <w:t xml:space="preserve">A la fecha, Salud Pública de Austin ha utilizado señales de televisión, frecuencias radiales, publicaciones, sitios web, plataformas de streaming, listas de distribución por correo electrónico, redes sociales, mensajes de texto y transporte público para los esfuerzos de publicidad pagada.  </w:t>
      </w:r>
    </w:p>
    <w:p w14:paraId="1EE1BAE1" w14:textId="41C2F70D" w:rsidR="00324484" w:rsidRPr="00E64010" w:rsidRDefault="00324484" w:rsidP="00324484">
      <w:pPr>
        <w:rPr>
          <w:lang w:val="es-US"/>
        </w:rPr>
      </w:pPr>
      <w:r w:rsidRPr="00E64010">
        <w:rPr>
          <w:lang w:val="es-US"/>
        </w:rPr>
        <w:t xml:space="preserve">Las estrategias de comunicación actuales incluyen: </w:t>
      </w:r>
    </w:p>
    <w:p w14:paraId="0C7A8079" w14:textId="6D2773DE" w:rsidR="00324484" w:rsidRPr="00E64010" w:rsidRDefault="00324484" w:rsidP="0058021E">
      <w:pPr>
        <w:pStyle w:val="ListParagraph"/>
        <w:numPr>
          <w:ilvl w:val="0"/>
          <w:numId w:val="12"/>
        </w:numPr>
        <w:rPr>
          <w:lang w:val="es-US"/>
        </w:rPr>
      </w:pPr>
      <w:r w:rsidRPr="00E64010">
        <w:rPr>
          <w:lang w:val="es-US"/>
        </w:rPr>
        <w:t xml:space="preserve">Promover eventos de vacunación temporales y sin cita con promociones por radio pagadas y campañas pagadas en las redes sociales y por mensajes de texto usando la tecnología de geocerca (geofence) por código postal al área en el que se están ofreciendo las vacunas. </w:t>
      </w:r>
    </w:p>
    <w:p w14:paraId="450ABB97" w14:textId="085E51FF" w:rsidR="00324484" w:rsidRPr="00E64010" w:rsidRDefault="00324484" w:rsidP="0058021E">
      <w:pPr>
        <w:pStyle w:val="ListParagraph"/>
        <w:numPr>
          <w:ilvl w:val="0"/>
          <w:numId w:val="12"/>
        </w:numPr>
        <w:rPr>
          <w:lang w:val="es-US"/>
        </w:rPr>
      </w:pPr>
      <w:r w:rsidRPr="00E64010">
        <w:rPr>
          <w:lang w:val="es-US"/>
        </w:rPr>
        <w:t xml:space="preserve">Animar a las personas a prepararse para viajar vacunándose completamente, incluyendo información de que toma dos semanas después de la segunda dosis de Pfizer y Moderna o dos semanas después de la dosis única de Johnson &amp; Johnson para que se le considere como completamente vacunado. </w:t>
      </w:r>
    </w:p>
    <w:p w14:paraId="2B1DCF80" w14:textId="7F4EC6CC" w:rsidR="00324484" w:rsidRPr="00E64010" w:rsidRDefault="00324484" w:rsidP="00324484">
      <w:pPr>
        <w:pStyle w:val="ListParagraph"/>
        <w:numPr>
          <w:ilvl w:val="0"/>
          <w:numId w:val="12"/>
        </w:numPr>
        <w:rPr>
          <w:lang w:val="es-US"/>
        </w:rPr>
      </w:pPr>
      <w:r w:rsidRPr="00E64010">
        <w:rPr>
          <w:lang w:val="es-US"/>
        </w:rPr>
        <w:t xml:space="preserve">Proveer a la Comisión Especial de Equidad materiales educativos para abordar las dudas sobre la vacuna y combatir la información incorrecta. El contenido incluye, pero no se limita a: materiales educativos para abordar los comentarios de la comunidad como por ejemplo las preocupaciones sobre la infertilidad, efectos secundarios graves, desarrollo de la vacuna y cómo la vacuna funciona con su cuerpo para protegerle de la enfermedad. </w:t>
      </w:r>
    </w:p>
    <w:p w14:paraId="1813D0F8" w14:textId="5D1E9846" w:rsidR="00AE1A88" w:rsidRPr="00E64010" w:rsidRDefault="00324484" w:rsidP="007A6B6C">
      <w:pPr>
        <w:pStyle w:val="ListParagraph"/>
        <w:numPr>
          <w:ilvl w:val="0"/>
          <w:numId w:val="12"/>
        </w:numPr>
        <w:rPr>
          <w:rFonts w:ascii="Calibri" w:eastAsia="Calibri" w:hAnsi="Calibri" w:cs="Calibri"/>
          <w:lang w:val="es-US"/>
        </w:rPr>
      </w:pPr>
      <w:r w:rsidRPr="00E64010">
        <w:rPr>
          <w:lang w:val="es-US"/>
        </w:rPr>
        <w:t xml:space="preserve">Continuar animando a practicar la higiene adecuada (lavarse las manos, no tocarse la cara, usar mascarilla y guardar el distanciamiento social), así como información para hacerse una prueba, guardar cuarentena y aislarse si entra en contacto con alguien que tenga síntomas o que tenga una prueba positiva de COVID-19.  </w:t>
      </w:r>
    </w:p>
    <w:p w14:paraId="3B7104BA" w14:textId="77777777" w:rsidR="00E16CB2" w:rsidRPr="00E64010" w:rsidRDefault="00E16CB2" w:rsidP="00E16CB2">
      <w:pPr>
        <w:pStyle w:val="ListParagraph"/>
        <w:rPr>
          <w:rFonts w:ascii="Calibri" w:eastAsia="Calibri" w:hAnsi="Calibri" w:cs="Calibri"/>
          <w:lang w:val="es-US"/>
        </w:rPr>
      </w:pPr>
    </w:p>
    <w:p w14:paraId="63776A14" w14:textId="5E237832" w:rsidR="00514FBC" w:rsidRPr="00E64010" w:rsidRDefault="00514FBC" w:rsidP="00514FBC">
      <w:pPr>
        <w:pStyle w:val="Heading1"/>
        <w:rPr>
          <w:lang w:val="es-US"/>
        </w:rPr>
      </w:pPr>
      <w:bookmarkStart w:id="3" w:name="_Toc83281164"/>
      <w:r w:rsidRPr="00E64010">
        <w:rPr>
          <w:bCs/>
          <w:lang w:val="es-US"/>
        </w:rPr>
        <w:t>Sección 2: Administración, programación y recordatorios para la tercera dosis de la vacuna contra el COVID-19</w:t>
      </w:r>
      <w:bookmarkEnd w:id="3"/>
    </w:p>
    <w:p w14:paraId="5C32432F" w14:textId="3BFFD9CC" w:rsidR="0098704F" w:rsidRPr="00E64010" w:rsidRDefault="0098704F" w:rsidP="00DD00DD">
      <w:pPr>
        <w:rPr>
          <w:b/>
          <w:bCs/>
          <w:lang w:val="es-US"/>
        </w:rPr>
      </w:pPr>
    </w:p>
    <w:p w14:paraId="3DE9DFCF" w14:textId="618A881E" w:rsidR="00DD00DD" w:rsidRPr="00E64010" w:rsidRDefault="00DD00DD" w:rsidP="0058021E">
      <w:pPr>
        <w:ind w:firstLine="720"/>
        <w:rPr>
          <w:lang w:val="es-US"/>
        </w:rPr>
      </w:pPr>
      <w:r w:rsidRPr="00E64010">
        <w:rPr>
          <w:lang w:val="es-US"/>
        </w:rPr>
        <w:t xml:space="preserve">El 13 de agosto de 2021, el CDC recomendó que las personas moderada o gravemente inmunocomprometidas recibieran una dosis adicional de la vacuna mRNA contra el COVID-19 (Pfizer-BioNtech o Moderna). Según el CDC, las personas moderada o gravemente inmunocomprometidas están en mayor riesgo de enfermarse de gravedad o por más tiempo y pudieran beneficiarse de una dosis adicional para asegurarse de que tengan protección adecuada contra el COVID-19.  Para las personas inmunocomprometidas, la tercera dosis se debe administrar al menos 28 días después de haber completado la serie inicial de la vacuna mRNA contra el COVID-19. </w:t>
      </w:r>
    </w:p>
    <w:p w14:paraId="222AFB87" w14:textId="77777777" w:rsidR="00DD00DD" w:rsidRPr="00E64010" w:rsidRDefault="00DD00DD" w:rsidP="00A0501A">
      <w:pPr>
        <w:ind w:firstLine="720"/>
        <w:rPr>
          <w:lang w:val="es-US"/>
        </w:rPr>
      </w:pPr>
      <w:r w:rsidRPr="00E64010">
        <w:rPr>
          <w:lang w:val="es-US"/>
        </w:rPr>
        <w:t>Las recomendaciones actuales para las personas inmunocomprometidas a quienes se les recomienda recibir una dosis adicional incluyen a personas que:</w:t>
      </w:r>
    </w:p>
    <w:p w14:paraId="66003857" w14:textId="77777777" w:rsidR="00DD00DD" w:rsidRPr="00E64010" w:rsidRDefault="00DD00DD" w:rsidP="00DD00DD">
      <w:pPr>
        <w:pStyle w:val="ListParagraph"/>
        <w:numPr>
          <w:ilvl w:val="0"/>
          <w:numId w:val="10"/>
        </w:numPr>
        <w:spacing w:line="256" w:lineRule="auto"/>
        <w:rPr>
          <w:lang w:val="es-US"/>
        </w:rPr>
      </w:pPr>
      <w:r w:rsidRPr="00E64010">
        <w:rPr>
          <w:lang w:val="es-US"/>
        </w:rPr>
        <w:t>Están bajo tratamiento activo para un tumor sólido o neoplasias hematológicas</w:t>
      </w:r>
    </w:p>
    <w:p w14:paraId="317E5AB1" w14:textId="77777777" w:rsidR="00DD00DD" w:rsidRPr="00E64010" w:rsidRDefault="00DD00DD" w:rsidP="00DD00DD">
      <w:pPr>
        <w:pStyle w:val="ListParagraph"/>
        <w:numPr>
          <w:ilvl w:val="0"/>
          <w:numId w:val="10"/>
        </w:numPr>
        <w:spacing w:line="256" w:lineRule="auto"/>
        <w:rPr>
          <w:lang w:val="es-US"/>
        </w:rPr>
      </w:pPr>
      <w:r w:rsidRPr="00E64010">
        <w:rPr>
          <w:lang w:val="es-US"/>
        </w:rPr>
        <w:t>Han recibido un trasplante de órgano sólido y están bajo terapia inmunosupresora</w:t>
      </w:r>
    </w:p>
    <w:p w14:paraId="576A0028" w14:textId="74960D51" w:rsidR="00DD00DD" w:rsidRPr="00E64010" w:rsidRDefault="00DD00DD" w:rsidP="00DD00DD">
      <w:pPr>
        <w:pStyle w:val="ListParagraph"/>
        <w:numPr>
          <w:ilvl w:val="0"/>
          <w:numId w:val="10"/>
        </w:numPr>
        <w:spacing w:line="256" w:lineRule="auto"/>
        <w:rPr>
          <w:lang w:val="es-US"/>
        </w:rPr>
      </w:pPr>
      <w:r w:rsidRPr="00E64010">
        <w:rPr>
          <w:lang w:val="es-US"/>
        </w:rPr>
        <w:t xml:space="preserve">Han recibido un trasplante de célula CAR-T o de </w:t>
      </w:r>
      <w:r w:rsidR="00E64010" w:rsidRPr="00E64010">
        <w:rPr>
          <w:lang w:val="es-US"/>
        </w:rPr>
        <w:t>células madre</w:t>
      </w:r>
      <w:r w:rsidRPr="00E64010">
        <w:rPr>
          <w:lang w:val="es-US"/>
        </w:rPr>
        <w:t xml:space="preserve"> hematopoyéticas (dentro de 2 años del trasplante o de tomar la terapia de inmunosupresión)</w:t>
      </w:r>
    </w:p>
    <w:p w14:paraId="1894DFCA" w14:textId="77777777" w:rsidR="00DD00DD" w:rsidRPr="00E64010" w:rsidRDefault="00DD00DD" w:rsidP="00DD00DD">
      <w:pPr>
        <w:pStyle w:val="ListParagraph"/>
        <w:numPr>
          <w:ilvl w:val="0"/>
          <w:numId w:val="10"/>
        </w:numPr>
        <w:spacing w:line="256" w:lineRule="auto"/>
        <w:rPr>
          <w:lang w:val="es-US"/>
        </w:rPr>
      </w:pPr>
      <w:r w:rsidRPr="00E64010">
        <w:rPr>
          <w:lang w:val="es-US"/>
        </w:rPr>
        <w:t>Tengan inmunodeficiencia primaria grave o moderada (como el síndrome de DiGeorge o el síndrome de Wiskott-Aldrich)  </w:t>
      </w:r>
    </w:p>
    <w:p w14:paraId="225A1962" w14:textId="77777777" w:rsidR="00DD00DD" w:rsidRPr="00E64010" w:rsidRDefault="00DD00DD" w:rsidP="00DD00DD">
      <w:pPr>
        <w:pStyle w:val="ListParagraph"/>
        <w:numPr>
          <w:ilvl w:val="0"/>
          <w:numId w:val="10"/>
        </w:numPr>
        <w:spacing w:line="256" w:lineRule="auto"/>
        <w:rPr>
          <w:lang w:val="es-US"/>
        </w:rPr>
      </w:pPr>
      <w:r w:rsidRPr="00E64010">
        <w:rPr>
          <w:lang w:val="es-US"/>
        </w:rPr>
        <w:t>Tengan una infección del VIH avanzada o sin tratar </w:t>
      </w:r>
    </w:p>
    <w:p w14:paraId="758C85A3" w14:textId="77777777" w:rsidR="00DD00DD" w:rsidRPr="00E64010" w:rsidRDefault="00DD00DD" w:rsidP="00DD00DD">
      <w:pPr>
        <w:pStyle w:val="ListParagraph"/>
        <w:numPr>
          <w:ilvl w:val="0"/>
          <w:numId w:val="10"/>
        </w:numPr>
        <w:spacing w:line="256" w:lineRule="auto"/>
        <w:rPr>
          <w:lang w:val="es-US"/>
        </w:rPr>
      </w:pPr>
      <w:r w:rsidRPr="00E64010">
        <w:rPr>
          <w:lang w:val="es-US"/>
        </w:rPr>
        <w:t>Estén bajo tratamiento activo con altas dosis de corticosteroides (es decir, con 20mg o más de prednisona o su equivalente al día), agentes alquilantes, antimetabolitos, medicamentos inmunosupresores para trasplantes, agentes de quimioterapia contra el cáncer clasificados como gravemente inmunosupresores, bloqueadores de necrosis tumoral (TNF, por sus siglas en inglés) y otros agentes biológicos que son inmunosupresores o inmunomoduladores</w:t>
      </w:r>
    </w:p>
    <w:p w14:paraId="2AEFB188" w14:textId="6883BE86" w:rsidR="00DD00DD" w:rsidRPr="00E64010" w:rsidRDefault="00DD00DD" w:rsidP="00A0501A">
      <w:pPr>
        <w:ind w:firstLine="720"/>
        <w:rPr>
          <w:lang w:val="es-US"/>
        </w:rPr>
      </w:pPr>
      <w:r w:rsidRPr="00E64010">
        <w:rPr>
          <w:lang w:val="es-US"/>
        </w:rPr>
        <w:t xml:space="preserve">APH les aconseja a los individuos inmunocomprometidos o a los que no están seguros de si califican para una tercera dosis que hablen con su proveedor médico sobre su condición médica y si es apropiado para ellos ponerse una dosis adicional. Las personas inmunocomprometidas que elijan recibir su tercera dosis en un centro de vacunación de APH pueden indicar ellas mismas que están inmunocomprometidas. </w:t>
      </w:r>
    </w:p>
    <w:p w14:paraId="487A76DD" w14:textId="77777777" w:rsidR="00DD00DD" w:rsidRPr="00E64010" w:rsidRDefault="00DD00DD" w:rsidP="00DD00DD">
      <w:pPr>
        <w:rPr>
          <w:lang w:val="es-US"/>
        </w:rPr>
      </w:pPr>
    </w:p>
    <w:p w14:paraId="6E6F2532" w14:textId="77777777" w:rsidR="006346D6" w:rsidRPr="00E64010" w:rsidRDefault="006346D6" w:rsidP="006346D6">
      <w:pPr>
        <w:rPr>
          <w:u w:val="single"/>
          <w:lang w:val="es-US"/>
        </w:rPr>
      </w:pPr>
      <w:r w:rsidRPr="00E64010">
        <w:rPr>
          <w:u w:val="single"/>
          <w:lang w:val="es-US"/>
        </w:rPr>
        <w:t>Preparación para la dosis de refuerzo de COVID-19</w:t>
      </w:r>
    </w:p>
    <w:p w14:paraId="730F4339" w14:textId="77777777" w:rsidR="00570505" w:rsidRPr="00E64010" w:rsidRDefault="006346D6" w:rsidP="00570505">
      <w:pPr>
        <w:ind w:firstLine="720"/>
        <w:rPr>
          <w:lang w:val="es-US"/>
        </w:rPr>
      </w:pPr>
      <w:r w:rsidRPr="00E64010">
        <w:rPr>
          <w:lang w:val="es-US"/>
        </w:rPr>
        <w:t>El 18 de agosto de 2021, los expertos del Departamento de Salud y Servicios Humanos de los Estados Unidos publicaron una declaración sobre el plan de la administración para las dosis de refuerzo contra el COVID-19. Según la declaración, se recomendarán dosis de refuerzo a todos los individuos, en espera de una evaluación de la seguridad y eficacia de una tercera dosis de las vacunas mRNA de Pfizer y Moderna por el Comité Asesor de Prácticas de Vacunación (ACIP, por sus siglas en inglés) del FDA y el CDC. El 24 de septiembre de 2021, el CDC recomendó una dosis de refuerzo de la vacuna de Pfizer-BioNtech contra el COVID-19 para ciertas poblaciones al menos 6 meses después de la serie primaria de vacunación:</w:t>
      </w:r>
    </w:p>
    <w:p w14:paraId="2B92CDE8" w14:textId="77777777" w:rsidR="00570505" w:rsidRPr="00E64010" w:rsidRDefault="00570505" w:rsidP="00570505">
      <w:pPr>
        <w:pStyle w:val="ListParagraph"/>
        <w:numPr>
          <w:ilvl w:val="0"/>
          <w:numId w:val="13"/>
        </w:numPr>
        <w:rPr>
          <w:lang w:val="es-US"/>
        </w:rPr>
      </w:pPr>
      <w:r w:rsidRPr="00E64010">
        <w:rPr>
          <w:lang w:val="es-US"/>
        </w:rPr>
        <w:t>Personas de 65 años o mayores</w:t>
      </w:r>
    </w:p>
    <w:p w14:paraId="39F1FBD9" w14:textId="77777777" w:rsidR="00570505" w:rsidRPr="00E64010" w:rsidRDefault="00570505" w:rsidP="00570505">
      <w:pPr>
        <w:pStyle w:val="ListParagraph"/>
        <w:numPr>
          <w:ilvl w:val="0"/>
          <w:numId w:val="13"/>
        </w:numPr>
        <w:rPr>
          <w:lang w:val="es-US"/>
        </w:rPr>
      </w:pPr>
      <w:r w:rsidRPr="00E64010">
        <w:rPr>
          <w:lang w:val="es-US"/>
        </w:rPr>
        <w:t xml:space="preserve">Residentes de centros de cuidado a largo plazo </w:t>
      </w:r>
    </w:p>
    <w:p w14:paraId="13578103" w14:textId="77777777" w:rsidR="00570505" w:rsidRPr="00E64010" w:rsidRDefault="00570505" w:rsidP="00570505">
      <w:pPr>
        <w:pStyle w:val="ListParagraph"/>
        <w:numPr>
          <w:ilvl w:val="0"/>
          <w:numId w:val="13"/>
        </w:numPr>
        <w:rPr>
          <w:lang w:val="es-US"/>
        </w:rPr>
      </w:pPr>
      <w:r w:rsidRPr="00E64010">
        <w:rPr>
          <w:lang w:val="es-US"/>
        </w:rPr>
        <w:t>Personas entre 50 y 64 años de edad con condiciones médicas subyacentes (explicar cuáles son según la lista del CDC)</w:t>
      </w:r>
    </w:p>
    <w:p w14:paraId="1EFD0704" w14:textId="77777777" w:rsidR="00570505" w:rsidRPr="00E64010" w:rsidRDefault="00570505" w:rsidP="00570505">
      <w:pPr>
        <w:pStyle w:val="ListParagraph"/>
        <w:numPr>
          <w:ilvl w:val="0"/>
          <w:numId w:val="13"/>
        </w:numPr>
        <w:rPr>
          <w:lang w:val="es-US"/>
        </w:rPr>
      </w:pPr>
      <w:r w:rsidRPr="00E64010">
        <w:rPr>
          <w:lang w:val="es-US"/>
        </w:rPr>
        <w:t>Personas entre 18 y 49 años de edad con condiciones médicas subyacentes</w:t>
      </w:r>
    </w:p>
    <w:p w14:paraId="6C02DD65" w14:textId="77777777" w:rsidR="00570505" w:rsidRPr="00E64010" w:rsidRDefault="00570505" w:rsidP="00570505">
      <w:pPr>
        <w:pStyle w:val="ListParagraph"/>
        <w:numPr>
          <w:ilvl w:val="0"/>
          <w:numId w:val="13"/>
        </w:numPr>
        <w:rPr>
          <w:lang w:val="es-US"/>
        </w:rPr>
      </w:pPr>
      <w:r w:rsidRPr="00E64010">
        <w:rPr>
          <w:lang w:val="es-US"/>
        </w:rPr>
        <w:t>Personas entre 18 y 64 años que están en algo riesgo de exposición al COVID-19 debido a su ocupación</w:t>
      </w:r>
    </w:p>
    <w:p w14:paraId="1426AB39" w14:textId="7D5C0A6D" w:rsidR="000917C4" w:rsidRPr="00E64010" w:rsidRDefault="002A6772" w:rsidP="000917C4">
      <w:pPr>
        <w:ind w:firstLine="720"/>
        <w:rPr>
          <w:lang w:val="es-US"/>
        </w:rPr>
      </w:pPr>
      <w:r w:rsidRPr="00E64010">
        <w:rPr>
          <w:lang w:val="es-US"/>
        </w:rPr>
        <w:t xml:space="preserve">Aunque las vacunas contra el COVID-19 son eficaces para prevenir enfermarse de gravedad, la hospitalización y muerte, las vacunas pueden proveer con el tiempo menos protección contra el virus del Sars-CoV-2 y sus variantes debido a la reducción en la inmunidad. A las personas que recibieron estas vacunas se les recomendará que reciban una dosis de refuerzo comenzando entre 6 y 8 meses después de la segunda dosis de la persona. Se recomienda que las personas obtengan la vacuna del mismo fabricante del que recibieron la primera y segunda dosis. El CDC aún no ha emitido recomendaciones para las personas que han recibido las vacunas de Moderna o Johnson &amp; Johnson pero se espera que en las próximas semanas se publiquen los datos sobre la necesidad y el tiempo programado para la administración de las dosis de refuerzo. APH continuará evaluando la Estrategia de Distribución de Vacunas contra el COVID-19 a medida que se publiquen más recomendaciones y datos. </w:t>
      </w:r>
    </w:p>
    <w:p w14:paraId="57D35D8E" w14:textId="54A32E13" w:rsidR="006346D6" w:rsidRPr="00E64010" w:rsidRDefault="006346D6" w:rsidP="009E7168">
      <w:pPr>
        <w:ind w:firstLine="360"/>
        <w:rPr>
          <w:lang w:val="es-US"/>
        </w:rPr>
      </w:pPr>
      <w:r w:rsidRPr="00E64010">
        <w:rPr>
          <w:lang w:val="es-US"/>
        </w:rPr>
        <w:t xml:space="preserve">Las lecciones aprendidas durante la distribución inicial de la vacuna contra el COVID-19 han servido de información base para la manera en que APH se está preparando para la administración de las dosis de refuerzo de la vacuna. Cuando Austin/Condado de Travis comenzó a administrar la vacuna contra el COVID-19, la meta era servir a la mayor cantidad de personas posible cumpliendo con las guías del Estado de Texas sobre los criterios para calificar. Sin embargo, APH sufrió de un sistema de registro de citas incompleto, una falta de proveedores adicionales de vacunas contra el COVID-19 en la ciudad y dificultad para cumplir con la abrumadora demanda de la vacuna. El esfuerzo de respuesta se adaptó rápidamente aumentando el número de centros de vacunación contra el COVID-19, mejorando el sistema de registro en línea y colaborando exitosamente con muchos socios en la comunidad para ofrecer las vacunas al público. </w:t>
      </w:r>
    </w:p>
    <w:p w14:paraId="648938C6" w14:textId="2B666BDD" w:rsidR="00006837" w:rsidRPr="00E64010" w:rsidRDefault="006346D6" w:rsidP="006346D6">
      <w:pPr>
        <w:rPr>
          <w:lang w:val="es-US"/>
        </w:rPr>
      </w:pPr>
      <w:r w:rsidRPr="00E64010">
        <w:rPr>
          <w:lang w:val="es-US"/>
        </w:rPr>
        <w:t xml:space="preserve">               </w:t>
      </w:r>
    </w:p>
    <w:p w14:paraId="6AC9CBFC" w14:textId="77777777" w:rsidR="006346D6" w:rsidRPr="00E64010" w:rsidRDefault="006346D6" w:rsidP="006346D6">
      <w:pPr>
        <w:pStyle w:val="ListParagraph"/>
        <w:numPr>
          <w:ilvl w:val="0"/>
          <w:numId w:val="8"/>
        </w:numPr>
        <w:spacing w:line="256" w:lineRule="auto"/>
        <w:rPr>
          <w:lang w:val="es-US"/>
        </w:rPr>
      </w:pPr>
      <w:r w:rsidRPr="00E64010">
        <w:rPr>
          <w:lang w:val="es-US"/>
        </w:rPr>
        <w:t xml:space="preserve">APH ha fortalecido el Programa de Vacunación Móvil (MVP, en inglés), que ofrece vacunación contra el COVID-19 a los grupos objetivos en localizaciones identificadas en la comunidad. El MVP responde a solicitudes de la comunidad para proveer vacunas a residentes que no pueden salir de sus casas y llevar a cabo clínicas de vacunación temporales en centros de cuidado a largo plazo, complejos de vivienda y otras instalaciones. Se les recomienda a las organizaciones que completen un cuestionario en línea para expresar su interés en que se realice una clínica de vacunación temporal en sus instalaciones. </w:t>
      </w:r>
    </w:p>
    <w:p w14:paraId="5AA365C0" w14:textId="77777777" w:rsidR="006346D6" w:rsidRPr="00E64010" w:rsidRDefault="006346D6" w:rsidP="006346D6">
      <w:pPr>
        <w:pStyle w:val="ListParagraph"/>
        <w:numPr>
          <w:ilvl w:val="0"/>
          <w:numId w:val="8"/>
        </w:numPr>
        <w:spacing w:line="256" w:lineRule="auto"/>
        <w:rPr>
          <w:lang w:val="es-US"/>
        </w:rPr>
      </w:pPr>
      <w:r w:rsidRPr="00E64010">
        <w:rPr>
          <w:lang w:val="es-US"/>
        </w:rPr>
        <w:t xml:space="preserve">APH ha establecido Puntos de Distribución (POD, en inglés) y clínicas de vacunación temporales en lugares donde hay baja incidencia de vacunación.  </w:t>
      </w:r>
    </w:p>
    <w:p w14:paraId="49836378" w14:textId="234D4321" w:rsidR="006346D6" w:rsidRPr="00E64010" w:rsidRDefault="006346D6" w:rsidP="006346D6">
      <w:pPr>
        <w:pStyle w:val="ListParagraph"/>
        <w:numPr>
          <w:ilvl w:val="0"/>
          <w:numId w:val="8"/>
        </w:numPr>
        <w:spacing w:line="256" w:lineRule="auto"/>
        <w:rPr>
          <w:lang w:val="es-US"/>
        </w:rPr>
      </w:pPr>
      <w:r w:rsidRPr="00E64010">
        <w:rPr>
          <w:lang w:val="es-US"/>
        </w:rPr>
        <w:t xml:space="preserve">APH se ha asociado con autoridades locales para llevar a cabo eventos de vacunación en la comunidad. </w:t>
      </w:r>
    </w:p>
    <w:p w14:paraId="41AAB8D5" w14:textId="5042874C" w:rsidR="2985B61C" w:rsidRPr="00E64010" w:rsidRDefault="3DDC4BDE" w:rsidP="4C8B7E41">
      <w:pPr>
        <w:pStyle w:val="ListParagraph"/>
        <w:numPr>
          <w:ilvl w:val="0"/>
          <w:numId w:val="7"/>
        </w:numPr>
        <w:spacing w:line="256" w:lineRule="auto"/>
        <w:rPr>
          <w:lang w:val="es-US"/>
        </w:rPr>
      </w:pPr>
      <w:r w:rsidRPr="00E64010">
        <w:rPr>
          <w:lang w:val="es-US"/>
        </w:rPr>
        <w:t xml:space="preserve">APH ofrece servicios especiales para personas sordas, ciegas y con impedimentos visuales mediante interpretación a </w:t>
      </w:r>
      <w:r w:rsidRPr="00E64010">
        <w:rPr>
          <w:rFonts w:ascii="Segoe UI" w:hAnsi="Segoe UI"/>
          <w:sz w:val="21"/>
          <w:szCs w:val="21"/>
          <w:lang w:val="es-US"/>
        </w:rPr>
        <w:t xml:space="preserve">lengua de señas americana y otros servicios de asistencia en los centros de vacunación.  APH también está colaborando directamente con socios comunitarios para asegurarse de que los servicios de vacunación sean accesibles a las personas con discapacidades en la comunidad. </w:t>
      </w:r>
    </w:p>
    <w:p w14:paraId="508BE1F0" w14:textId="77777777" w:rsidR="006346D6" w:rsidRPr="00E64010" w:rsidRDefault="006346D6" w:rsidP="006346D6">
      <w:pPr>
        <w:pStyle w:val="ListParagraph"/>
        <w:numPr>
          <w:ilvl w:val="0"/>
          <w:numId w:val="8"/>
        </w:numPr>
        <w:spacing w:line="256" w:lineRule="auto"/>
        <w:rPr>
          <w:lang w:val="es-US"/>
        </w:rPr>
      </w:pPr>
      <w:r w:rsidRPr="00E64010">
        <w:rPr>
          <w:lang w:val="es-US"/>
        </w:rPr>
        <w:t>APH ha creado un Equipo de Educación sobre el COVID-19 que ofrece oportunidades de educación comunitaria sobre la vacuna. Se les recomienda a las organizaciones que completen un cuestionario en línea para expresar su interés en que se realice una sesión educativa sobre la vacuna en sus instalaciones.</w:t>
      </w:r>
    </w:p>
    <w:p w14:paraId="0305C8C4" w14:textId="77777777" w:rsidR="00E00C2A" w:rsidRPr="00E64010" w:rsidRDefault="006346D6" w:rsidP="00E00C2A">
      <w:pPr>
        <w:pStyle w:val="ListParagraph"/>
        <w:numPr>
          <w:ilvl w:val="0"/>
          <w:numId w:val="8"/>
        </w:numPr>
        <w:spacing w:line="256" w:lineRule="auto"/>
        <w:rPr>
          <w:lang w:val="es-US"/>
        </w:rPr>
      </w:pPr>
      <w:r w:rsidRPr="00E64010">
        <w:rPr>
          <w:lang w:val="es-US"/>
        </w:rPr>
        <w:t>APH ha trabajado diligentemente para asegurarse de que el sistema en línea de Austin Healthforce esté preparado para hacer las citas de los pacientes para sus dosis de refuerzo y enviar recordatorios de las citas.</w:t>
      </w:r>
    </w:p>
    <w:p w14:paraId="17EE4E6E" w14:textId="77777777" w:rsidR="00E00C2A" w:rsidRPr="00E64010" w:rsidRDefault="006346D6" w:rsidP="00E00C2A">
      <w:pPr>
        <w:pStyle w:val="ListParagraph"/>
        <w:numPr>
          <w:ilvl w:val="0"/>
          <w:numId w:val="8"/>
        </w:numPr>
        <w:spacing w:line="256" w:lineRule="auto"/>
        <w:rPr>
          <w:lang w:val="es-US"/>
        </w:rPr>
      </w:pPr>
      <w:r w:rsidRPr="00E64010">
        <w:rPr>
          <w:lang w:val="es-US"/>
        </w:rPr>
        <w:t>APH tiene varias oportunidades existentes para las vacunas regulares con la capacidad de aumentar la disponibilidad rápidamente.</w:t>
      </w:r>
    </w:p>
    <w:p w14:paraId="30D6EE00" w14:textId="447D59E4" w:rsidR="007E79BD" w:rsidRPr="00E64010" w:rsidRDefault="006346D6" w:rsidP="00E00C2A">
      <w:pPr>
        <w:pStyle w:val="ListParagraph"/>
        <w:numPr>
          <w:ilvl w:val="0"/>
          <w:numId w:val="8"/>
        </w:numPr>
        <w:spacing w:line="256" w:lineRule="auto"/>
        <w:rPr>
          <w:lang w:val="es-US"/>
        </w:rPr>
      </w:pPr>
      <w:r w:rsidRPr="00E64010">
        <w:rPr>
          <w:lang w:val="es-US"/>
        </w:rPr>
        <w:t>Tomando en cuenta el éxito anterior de los centros de vacunación en masa, APH está trabajando para identificar un lugar que pueda acomodar las operaciones de vacunación a gran escala donde se puedan vacunar muchas personas al día.</w:t>
      </w:r>
    </w:p>
    <w:p w14:paraId="3B2A3385" w14:textId="17E83F74" w:rsidR="00B337EE" w:rsidRPr="00E64010" w:rsidRDefault="007E79BD" w:rsidP="006563B4">
      <w:pPr>
        <w:pStyle w:val="ListParagraph"/>
        <w:numPr>
          <w:ilvl w:val="0"/>
          <w:numId w:val="8"/>
        </w:numPr>
        <w:spacing w:line="256" w:lineRule="auto"/>
        <w:rPr>
          <w:lang w:val="es-US"/>
        </w:rPr>
      </w:pPr>
      <w:r w:rsidRPr="00E64010">
        <w:rPr>
          <w:lang w:val="es-US"/>
        </w:rPr>
        <w:t>APH mantendrá el servicio sin cita en las clínicas para servir a los pacientes que no puedan hacer un pre-registro.</w:t>
      </w:r>
    </w:p>
    <w:p w14:paraId="7E48C3D0" w14:textId="5E10AB6B" w:rsidR="00D77C38" w:rsidRPr="00E64010" w:rsidRDefault="00D77C38" w:rsidP="006563B4">
      <w:pPr>
        <w:pStyle w:val="ListParagraph"/>
        <w:numPr>
          <w:ilvl w:val="0"/>
          <w:numId w:val="8"/>
        </w:numPr>
        <w:spacing w:line="256" w:lineRule="auto"/>
        <w:rPr>
          <w:lang w:val="es-US"/>
        </w:rPr>
      </w:pPr>
      <w:r w:rsidRPr="00E64010">
        <w:rPr>
          <w:lang w:val="es-US"/>
        </w:rPr>
        <w:t>APH ha reforzado su asociación con el Condado de Travis y el agente del alguacil del condado, entre otros socios, para proveer servicios completos de vacunación por todo el condado.</w:t>
      </w:r>
    </w:p>
    <w:p w14:paraId="6B0E9AA0" w14:textId="2C4535AB" w:rsidR="008F64B6" w:rsidRPr="00E64010" w:rsidRDefault="008F64B6" w:rsidP="008F64B6">
      <w:pPr>
        <w:spacing w:line="256" w:lineRule="auto"/>
        <w:ind w:firstLine="360"/>
        <w:rPr>
          <w:lang w:val="es-US"/>
        </w:rPr>
      </w:pPr>
      <w:r w:rsidRPr="00E64010">
        <w:rPr>
          <w:lang w:val="es-US"/>
        </w:rPr>
        <w:t>Estas lecciones, entre otras, han preparado a APH para asegurarnos de que, mientras esperamos la aprobación de las dosis de refuerzo, la administración de vacunas permanezca accesible y equitativa.</w:t>
      </w:r>
    </w:p>
    <w:p w14:paraId="65DF9DAB" w14:textId="77777777" w:rsidR="006563B4" w:rsidRPr="00E64010" w:rsidRDefault="006563B4" w:rsidP="008F64B6">
      <w:pPr>
        <w:spacing w:line="256" w:lineRule="auto"/>
        <w:rPr>
          <w:lang w:val="es-US"/>
        </w:rPr>
      </w:pPr>
    </w:p>
    <w:p w14:paraId="07EB39C1" w14:textId="77777777" w:rsidR="00C61A9D" w:rsidRPr="00E64010" w:rsidRDefault="00C61A9D">
      <w:pPr>
        <w:rPr>
          <w:b/>
          <w:lang w:val="es-US"/>
        </w:rPr>
      </w:pPr>
      <w:r w:rsidRPr="00E64010">
        <w:rPr>
          <w:u w:val="single"/>
          <w:lang w:val="es-US"/>
        </w:rPr>
        <w:t>Programación de citas y recordatorios para la tercera dosis de la vacuna contra el COVID-19</w:t>
      </w:r>
    </w:p>
    <w:p w14:paraId="37EA85D7" w14:textId="63F3515C" w:rsidR="000A125F" w:rsidRPr="00E64010" w:rsidRDefault="00514FBC" w:rsidP="00C61A9D">
      <w:pPr>
        <w:ind w:firstLine="720"/>
        <w:rPr>
          <w:lang w:val="es-US"/>
        </w:rPr>
      </w:pPr>
      <w:r w:rsidRPr="00E64010">
        <w:rPr>
          <w:lang w:val="es-US"/>
        </w:rPr>
        <w:t xml:space="preserve">Los proveedores de atención médica tendrán la obligación de notificarles a sus propios pacientes cuándo programar la tercera dosis. El DSHS de Texas proveerá listas de clientes del sistema ImmTrac2 a manera de apoyo para las citas para la tercera dosis y será responsabilidad del proveedor de atención médica enviar el recordatorio. Para cualquier vacuna administrada por Salud Pública de Austin se utilizará el portal actual de programación de vacunas contra el COVID-19. Salud Pública de Austin ha actualizado este portal para poder programar las vacunas, incluyendo recordatorios de citas para la tercera dosis de la vacuna contra el COVID-19. </w:t>
      </w:r>
    </w:p>
    <w:p w14:paraId="0A3C03AE" w14:textId="2F12C5C2" w:rsidR="000C7C2F" w:rsidRPr="00E64010" w:rsidRDefault="009F2AD0" w:rsidP="009B4AC3">
      <w:pPr>
        <w:ind w:firstLine="720"/>
        <w:rPr>
          <w:lang w:val="es-US"/>
        </w:rPr>
      </w:pPr>
      <w:r w:rsidRPr="00E64010">
        <w:rPr>
          <w:lang w:val="es-US"/>
        </w:rPr>
        <w:t xml:space="preserve">APH está comunicándose activamente con las poblaciones a las cuales es difícil llegar, a través de nuestro centro de llamadas, para reducir las barreras y ofrecer citas a las personas que califican para recibir la tercera dosis. Cuando el CDC la apruebe, APH contactará a los que recibieron la vacuna contra el COVID-19 a través de APH para recordarles por mensaje de texto directo, correo electrónico o llamada, sobre la vacuna de refuerzo programada a los 8 meses.  Se les ofrecerá una cita con APH y se les dirigirá a los proveedores de vacunas disponibles en la comunidad. Durante los próximos meses, cualquier persona que califique y desee la tercera dosis puede contactar al 311 para hacer una cita.   </w:t>
      </w:r>
    </w:p>
    <w:p w14:paraId="5A3B5B60" w14:textId="77777777" w:rsidR="00F3347B" w:rsidRPr="00E64010" w:rsidRDefault="00F3347B" w:rsidP="00F3347B">
      <w:pPr>
        <w:rPr>
          <w:u w:val="single"/>
          <w:lang w:val="es-US"/>
        </w:rPr>
      </w:pPr>
      <w:r w:rsidRPr="00E64010">
        <w:rPr>
          <w:u w:val="single"/>
          <w:lang w:val="es-US"/>
        </w:rPr>
        <w:t>Vacunación completa de la población mientras se ofrecen dosis adicionales</w:t>
      </w:r>
    </w:p>
    <w:p w14:paraId="322D5AA0" w14:textId="52D04D40" w:rsidR="00F3347B" w:rsidRPr="00E64010" w:rsidRDefault="00F3347B" w:rsidP="00F3347B">
      <w:pPr>
        <w:ind w:firstLine="720"/>
        <w:rPr>
          <w:lang w:val="es-US"/>
        </w:rPr>
      </w:pPr>
      <w:r w:rsidRPr="00E64010">
        <w:rPr>
          <w:lang w:val="es-US"/>
        </w:rPr>
        <w:t xml:space="preserve">A medida que APH planifica la administración de dosis adicionales de las vacunas contra el COVID-19, la distribución y acceso equitativos a la vacuna siguen siendo prioridad. Para proteger a la población elegible de individuos inmunocomprometidos junto con nuestros seres queridos y la comunidad, APH continuará animando a todos los que aún no se han vacunado a que se pongan la vacuna contra el COVID-19. APH reconoce que hay comunidades que continúan sufriendo por el COVID-19 debido a su baja incidencia de vacunación y continuará ofreciendo y promoviendo la vacuna a todas las personas que aún no se han vacunado. APH continuará creando oportunidades para hacer la vacuna accesible, creando materiales educativos y mensajes apropiados para abordar las dudas y colaborando con los socios comunitarios para asegurarse de que se acepte la vacuna en las comunidades vulnerables en el Condado de Travis. </w:t>
      </w:r>
    </w:p>
    <w:p w14:paraId="27E4BFCF" w14:textId="289A589D" w:rsidR="00F3347B" w:rsidRPr="00E64010" w:rsidRDefault="006563B4" w:rsidP="006563B4">
      <w:pPr>
        <w:ind w:firstLine="720"/>
        <w:rPr>
          <w:lang w:val="es-US"/>
        </w:rPr>
      </w:pPr>
      <w:r w:rsidRPr="00E64010">
        <w:rPr>
          <w:lang w:val="es-US"/>
        </w:rPr>
        <w:t xml:space="preserve">Es significativo que el suministro de vacunas contra el COVID-19 en el Condado de Travis es mucho mayor de lo que fue cuando se comenzaron a administrar las vacunas inicialmente. El suministro de la vacuna ha sobrepasado la demanda, los esfuerzos de vacunación se han expandido y más proveedores, incluyendo los privados y farmacias, han recibido la vacuna para distribuirla. En colaboración con el Departamento de Servicios de Salud del Estado de Texas, APH ha comenzado a transferir vacunas contra el COVID-19, junto con las neveras y suministros que acompañan a las vacunas, a socios comunitarios para fortalecer los esfuerzos de administración de la vacuna entre los proveedores de la vacuna contra el COVID-19 en la comunidad. Se anima a los residentes del Condado de Travis que visiten vacunas.gov para obtener información adicional sobre los centros de vacunación disponibles. </w:t>
      </w:r>
      <w:r w:rsidRPr="00E64010">
        <w:rPr>
          <w:rStyle w:val="eop"/>
          <w:rFonts w:cstheme="minorHAnsi"/>
          <w:color w:val="000000"/>
          <w:lang w:val="es-US"/>
        </w:rPr>
        <w:t>Salud Pública de Austin anima a los que tienen acceso a otros proveedores a que obtengan la vacuna en otro lugar.  Aunque no se rechazará a nadie en Salud Pública de Austin, es importante notar que el enfoque de APH es en las poblaciones sin seguro médico o con seguro médico insuficiente.</w:t>
      </w:r>
    </w:p>
    <w:p w14:paraId="004554E6" w14:textId="6E9BCB6E" w:rsidR="008020DA" w:rsidRPr="00E64010" w:rsidRDefault="008020DA" w:rsidP="008020DA">
      <w:pPr>
        <w:pStyle w:val="Heading1"/>
        <w:rPr>
          <w:lang w:val="es-US"/>
        </w:rPr>
      </w:pPr>
      <w:bookmarkStart w:id="4" w:name="_Toc83281165"/>
      <w:r w:rsidRPr="00E64010">
        <w:rPr>
          <w:bCs/>
          <w:lang w:val="es-US"/>
        </w:rPr>
        <w:t>Sección 3: Vacunación contra el COVID-19 para pacientes pediátricos</w:t>
      </w:r>
      <w:bookmarkEnd w:id="4"/>
    </w:p>
    <w:p w14:paraId="39EC4040" w14:textId="6E9BCB6E" w:rsidR="008020DA" w:rsidRPr="00E64010" w:rsidRDefault="008020DA" w:rsidP="008020DA">
      <w:pPr>
        <w:rPr>
          <w:b/>
          <w:lang w:val="es-US"/>
        </w:rPr>
      </w:pPr>
    </w:p>
    <w:p w14:paraId="0F3E5394" w14:textId="66151EA1" w:rsidR="008020DA" w:rsidRPr="00E64010" w:rsidRDefault="00D5707E" w:rsidP="00F43423">
      <w:pPr>
        <w:ind w:firstLine="720"/>
        <w:rPr>
          <w:lang w:val="es-US"/>
        </w:rPr>
      </w:pPr>
      <w:r w:rsidRPr="00E64010">
        <w:rPr>
          <w:lang w:val="es-US"/>
        </w:rPr>
        <w:t xml:space="preserve">La vacuna sigue siendo la primera línea de defensa contra el COVID-19. Actualmente, el CDC recomienda la vacuna contra el COVID-19 a toda persona de 12 años o más. En este momento solo se ha aprobado la vacuna mRNA de Pfizer contra el COVID-19 para niños menores de 18 años. A pesar de esta restricción, APH ha sido diligente en vacunar a los niños de 12 años y más. Los servicios existentes, como las clínicas Shots for Tots de APH, han ofrecido la vacuna contra el COVID-19 a niños y sus familiares además de ayudar a proteger a los niños y sus familiares de enfermedades peligrosas para la vida ofreciendo otras vacunas a los niños sin seguro médico o con seguro médico insuficiente y sus familiares. APH también se ha asociado con los distritos escolares públicos, las escuelas subvencionadas (charter) y escuelas privadas para llevar a cabo clínicas de vacunación para estudiantes y sus familiares por todo el Condado de Travis. </w:t>
      </w:r>
    </w:p>
    <w:p w14:paraId="6FE38839" w14:textId="6FA50BF3" w:rsidR="005C4EE0" w:rsidRPr="00E64010" w:rsidRDefault="005C4EE0" w:rsidP="00F43423">
      <w:pPr>
        <w:ind w:firstLine="720"/>
        <w:rPr>
          <w:lang w:val="es-US"/>
        </w:rPr>
      </w:pPr>
      <w:r w:rsidRPr="00E64010">
        <w:rPr>
          <w:lang w:val="es-US"/>
        </w:rPr>
        <w:t xml:space="preserve">Salud Pública de Austin utilizará las guías del Comité Asesor sobre Prácticas de Vacunación (ACIP) de la FDA y el CDC sobre la vacuna para los niños menores de 12 años de edad. Los niños menores de 12 años de edad, una vez califiquen, podrán recibir sus vacunas en los centros de vacunación contra el COVID-19 de APH. Además, APH ha sido proactiva en crear planes con las escuelas locales y está preparada para llevar a cabo clínicas temporales de vacunación en escuelas accesibles. </w:t>
      </w:r>
    </w:p>
    <w:p w14:paraId="48D7B4F1" w14:textId="25B423F5" w:rsidR="00863CCE" w:rsidRPr="00E64010" w:rsidRDefault="00AF176A" w:rsidP="00F43423">
      <w:pPr>
        <w:ind w:firstLine="720"/>
        <w:rPr>
          <w:rFonts w:cstheme="minorHAnsi"/>
          <w:color w:val="23221F"/>
          <w:sz w:val="21"/>
          <w:szCs w:val="21"/>
          <w:shd w:val="clear" w:color="auto" w:fill="FFFFFF"/>
          <w:lang w:val="es-US"/>
        </w:rPr>
      </w:pPr>
      <w:r w:rsidRPr="00E64010">
        <w:rPr>
          <w:rStyle w:val="Strong"/>
          <w:rFonts w:cstheme="minorHAnsi"/>
          <w:color w:val="23221F"/>
          <w:sz w:val="21"/>
          <w:szCs w:val="21"/>
          <w:shd w:val="clear" w:color="auto" w:fill="FFFFFF"/>
          <w:lang w:val="es-US"/>
        </w:rPr>
        <w:t>Consentimiento de un adulto autorizado: </w:t>
      </w:r>
      <w:r w:rsidRPr="00E64010">
        <w:rPr>
          <w:rFonts w:cstheme="minorHAnsi"/>
          <w:color w:val="23221F"/>
          <w:sz w:val="21"/>
          <w:szCs w:val="21"/>
          <w:shd w:val="clear" w:color="auto" w:fill="FFFFFF"/>
          <w:lang w:val="es-US"/>
        </w:rPr>
        <w:t xml:space="preserve">Si una persona es menor de 18 años de edad, necesitará el consentimiento de un adulto autorizado para poder recibir la vacuna. </w:t>
      </w:r>
    </w:p>
    <w:p w14:paraId="7860D44F" w14:textId="12D0C2FC" w:rsidR="00863CCE" w:rsidRPr="00E64010" w:rsidRDefault="00863CCE" w:rsidP="00863CCE">
      <w:pPr>
        <w:rPr>
          <w:rFonts w:cstheme="minorHAnsi"/>
          <w:color w:val="23221F"/>
          <w:shd w:val="clear" w:color="auto" w:fill="FFFFFF"/>
          <w:lang w:val="es-US"/>
        </w:rPr>
      </w:pPr>
      <w:r w:rsidRPr="00E64010">
        <w:rPr>
          <w:rFonts w:cstheme="minorHAnsi"/>
          <w:color w:val="23221F"/>
          <w:shd w:val="clear" w:color="auto" w:fill="FFFFFF"/>
          <w:lang w:val="es-US"/>
        </w:rPr>
        <w:t>Los adultos autorizados que pueden dar consentimiento para un menor incluyen:</w:t>
      </w:r>
    </w:p>
    <w:p w14:paraId="345BAE49" w14:textId="07CF742A" w:rsidR="00112DC6" w:rsidRPr="00E64010" w:rsidRDefault="00112DC6" w:rsidP="009B4AC3">
      <w:pPr>
        <w:pStyle w:val="ListParagraph"/>
        <w:numPr>
          <w:ilvl w:val="0"/>
          <w:numId w:val="11"/>
        </w:numPr>
        <w:rPr>
          <w:rFonts w:cstheme="minorHAnsi"/>
          <w:color w:val="23221F"/>
          <w:shd w:val="clear" w:color="auto" w:fill="FFFFFF"/>
          <w:lang w:val="es-US"/>
        </w:rPr>
      </w:pPr>
      <w:r w:rsidRPr="00E64010">
        <w:rPr>
          <w:rFonts w:cstheme="minorHAnsi"/>
          <w:color w:val="23221F"/>
          <w:shd w:val="clear" w:color="auto" w:fill="FFFFFF"/>
          <w:lang w:val="es-US"/>
        </w:rPr>
        <w:t>Padre o madre</w:t>
      </w:r>
    </w:p>
    <w:p w14:paraId="50F3911C" w14:textId="5C25386D" w:rsidR="00863CCE" w:rsidRPr="00E64010" w:rsidRDefault="00863CCE" w:rsidP="009B4AC3">
      <w:pPr>
        <w:pStyle w:val="ListParagraph"/>
        <w:numPr>
          <w:ilvl w:val="0"/>
          <w:numId w:val="11"/>
        </w:numPr>
        <w:rPr>
          <w:rFonts w:cstheme="minorHAnsi"/>
          <w:color w:val="23221F"/>
          <w:shd w:val="clear" w:color="auto" w:fill="FFFFFF"/>
          <w:lang w:val="es-US"/>
        </w:rPr>
      </w:pPr>
      <w:r w:rsidRPr="00E64010">
        <w:rPr>
          <w:rFonts w:cstheme="minorHAnsi"/>
          <w:color w:val="23221F"/>
          <w:shd w:val="clear" w:color="auto" w:fill="FFFFFF"/>
          <w:lang w:val="es-US"/>
        </w:rPr>
        <w:t>Un adulto con permiso de un tribunal para tomar decisiones de salud para el menor (tutor legal)</w:t>
      </w:r>
    </w:p>
    <w:p w14:paraId="2B12C91F" w14:textId="77777777" w:rsidR="00863CCE" w:rsidRPr="00E64010" w:rsidRDefault="00863CCE" w:rsidP="009B4AC3">
      <w:pPr>
        <w:pStyle w:val="ListParagraph"/>
        <w:numPr>
          <w:ilvl w:val="0"/>
          <w:numId w:val="11"/>
        </w:numPr>
        <w:rPr>
          <w:rFonts w:cstheme="minorHAnsi"/>
          <w:color w:val="23221F"/>
          <w:shd w:val="clear" w:color="auto" w:fill="FFFFFF"/>
          <w:lang w:val="es-US"/>
        </w:rPr>
      </w:pPr>
      <w:r w:rsidRPr="00E64010">
        <w:rPr>
          <w:rFonts w:cstheme="minorHAnsi"/>
          <w:color w:val="23221F"/>
          <w:shd w:val="clear" w:color="auto" w:fill="FFFFFF"/>
          <w:lang w:val="es-US"/>
        </w:rPr>
        <w:t>Un adulto con permiso del padre o la madre para tomar decisiones de salud por el menor</w:t>
      </w:r>
    </w:p>
    <w:p w14:paraId="42FFD619" w14:textId="742B45A6" w:rsidR="004E1761" w:rsidRPr="00E64010" w:rsidRDefault="00863CCE" w:rsidP="005C4EE0">
      <w:pPr>
        <w:pStyle w:val="ListParagraph"/>
        <w:numPr>
          <w:ilvl w:val="0"/>
          <w:numId w:val="11"/>
        </w:numPr>
        <w:rPr>
          <w:rFonts w:cstheme="minorHAnsi"/>
          <w:color w:val="23221F"/>
          <w:shd w:val="clear" w:color="auto" w:fill="FFFFFF"/>
          <w:lang w:val="es-US"/>
        </w:rPr>
      </w:pPr>
      <w:r w:rsidRPr="00E64010">
        <w:rPr>
          <w:rFonts w:cstheme="minorHAnsi"/>
          <w:color w:val="23221F"/>
          <w:shd w:val="clear" w:color="auto" w:fill="FFFFFF"/>
          <w:lang w:val="es-US"/>
        </w:rPr>
        <w:t>Familiar adulto responsable por el cuidado de salud del menor</w:t>
      </w:r>
    </w:p>
    <w:p w14:paraId="689B7D6C" w14:textId="5301D7ED" w:rsidR="00375F02" w:rsidRPr="00E64010" w:rsidRDefault="007507EE" w:rsidP="00E50F67">
      <w:pPr>
        <w:ind w:firstLine="360"/>
        <w:rPr>
          <w:color w:val="23221F"/>
          <w:shd w:val="clear" w:color="auto" w:fill="FFFFFF"/>
          <w:lang w:val="es-US"/>
        </w:rPr>
      </w:pPr>
      <w:r w:rsidRPr="00E64010">
        <w:rPr>
          <w:lang w:val="es-US"/>
        </w:rPr>
        <w:t xml:space="preserve">Si un adulto autorizado no puede venir a la cita de la vacuna con el menor, el adulto puede firmar por adelantado un formulario de autorización del adulto. </w:t>
      </w:r>
    </w:p>
    <w:sectPr w:rsidR="00375F02" w:rsidRPr="00E64010" w:rsidSect="00415FFF">
      <w:footerReference w:type="default" r:id="rId13"/>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D7E89" w14:textId="77777777" w:rsidR="00FC7EAD" w:rsidRDefault="00FC7EAD" w:rsidP="0061608F">
      <w:pPr>
        <w:spacing w:after="0" w:line="240" w:lineRule="auto"/>
      </w:pPr>
      <w:r>
        <w:separator/>
      </w:r>
    </w:p>
  </w:endnote>
  <w:endnote w:type="continuationSeparator" w:id="0">
    <w:p w14:paraId="338614CF" w14:textId="77777777" w:rsidR="00FC7EAD" w:rsidRDefault="00FC7EAD" w:rsidP="0061608F">
      <w:pPr>
        <w:spacing w:after="0" w:line="240" w:lineRule="auto"/>
      </w:pPr>
      <w:r>
        <w:continuationSeparator/>
      </w:r>
    </w:p>
  </w:endnote>
  <w:endnote w:type="continuationNotice" w:id="1">
    <w:p w14:paraId="598C8F07" w14:textId="77777777" w:rsidR="00FC7EAD" w:rsidRDefault="00FC7E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370FF" w14:textId="6AFA38C9" w:rsidR="0061608F" w:rsidRPr="00601CD2" w:rsidRDefault="00DE5C4E" w:rsidP="0061608F">
    <w:pPr>
      <w:pStyle w:val="Footer"/>
      <w:jc w:val="center"/>
      <w:rPr>
        <w:b/>
        <w:bCs/>
        <w:color w:val="FF0000"/>
        <w:lang w:val="es-US"/>
      </w:rPr>
    </w:pPr>
    <w:r w:rsidRPr="00601CD2">
      <w:rPr>
        <w:b/>
        <w:bCs/>
        <w:color w:val="FF0000"/>
        <w:lang w:val="es-US"/>
      </w:rPr>
      <w:t>Para uso oficial solamente</w:t>
    </w:r>
  </w:p>
  <w:p w14:paraId="52D65A1E" w14:textId="69B31D1C" w:rsidR="0061608F" w:rsidRPr="00601CD2" w:rsidRDefault="00DE5C4E" w:rsidP="00857D99">
    <w:pPr>
      <w:pStyle w:val="Footer"/>
      <w:jc w:val="center"/>
      <w:rPr>
        <w:lang w:val="es-US"/>
      </w:rPr>
    </w:pPr>
    <w:r w:rsidRPr="00601CD2">
      <w:rPr>
        <w:lang w:val="es-US"/>
      </w:rPr>
      <w:t>No publicar sin el permiso escrito de Salud Pública de Austin</w:t>
    </w:r>
    <w:r w:rsidR="0061608F" w:rsidRPr="00601CD2">
      <w:rPr>
        <w:lang w:val="es-US"/>
      </w:rPr>
      <w:t xml:space="preserve"> </w:t>
    </w:r>
    <w:r w:rsidR="0061608F" w:rsidRPr="00601CD2">
      <w:rPr>
        <w:rFonts w:ascii="Symbol" w:hAnsi="Symbol"/>
        <w:lang w:val="es-US"/>
      </w:rPr>
      <w:t>·</w:t>
    </w:r>
    <w:r w:rsidR="0061608F" w:rsidRPr="00601CD2">
      <w:rPr>
        <w:lang w:val="es-US"/>
      </w:rPr>
      <w:t xml:space="preserve"> </w:t>
    </w:r>
    <w:r w:rsidR="00857D99">
      <w:rPr>
        <w:lang w:val="es-US"/>
      </w:rPr>
      <w:t>Para preguntas de los</w:t>
    </w:r>
    <w:r w:rsidR="00601CD2" w:rsidRPr="00601CD2">
      <w:rPr>
        <w:lang w:val="es-US"/>
      </w:rPr>
      <w:t xml:space="preserve"> medios de</w:t>
    </w:r>
    <w:r w:rsidRPr="00601CD2">
      <w:rPr>
        <w:lang w:val="es-US"/>
      </w:rPr>
      <w:t xml:space="preserve"> comunicación,</w:t>
    </w:r>
    <w:r w:rsidR="0061608F" w:rsidRPr="00601CD2">
      <w:rPr>
        <w:lang w:val="es-US"/>
      </w:rPr>
      <w:t xml:space="preserve"> </w:t>
    </w:r>
    <w:r w:rsidR="00601CD2" w:rsidRPr="00601CD2">
      <w:rPr>
        <w:lang w:val="es-US"/>
      </w:rPr>
      <w:t>contactar a</w:t>
    </w:r>
    <w:r w:rsidR="0061608F" w:rsidRPr="00601CD2">
      <w:rPr>
        <w:lang w:val="es-US"/>
      </w:rPr>
      <w:t xml:space="preserve"> </w:t>
    </w:r>
    <w:hyperlink r:id="rId1">
      <w:r w:rsidR="0061608F" w:rsidRPr="00601CD2">
        <w:rPr>
          <w:rStyle w:val="Hyperlink"/>
          <w:lang w:val="es-US"/>
        </w:rPr>
        <w:t>HSEMPIO@Austintexas.gov</w:t>
      </w:r>
    </w:hyperlink>
    <w:r w:rsidR="0061608F" w:rsidRPr="00601CD2">
      <w:rPr>
        <w:lang w:val="es-US"/>
      </w:rPr>
      <w:t xml:space="preserve"> </w:t>
    </w:r>
    <w:r w:rsidR="0061608F" w:rsidRPr="00601CD2">
      <w:rPr>
        <w:rFonts w:ascii="Symbol" w:hAnsi="Symbol"/>
        <w:lang w:val="es-US"/>
      </w:rPr>
      <w:t>·</w:t>
    </w:r>
    <w:r w:rsidR="0061608F" w:rsidRPr="00601CD2">
      <w:rPr>
        <w:lang w:val="es-US"/>
      </w:rPr>
      <w:t xml:space="preserve"> </w:t>
    </w:r>
    <w:r w:rsidRPr="00601CD2">
      <w:rPr>
        <w:lang w:val="es-US"/>
      </w:rPr>
      <w:t>Suplemento del plan de distribución de vacunas contra el COVID-19 del área capital</w:t>
    </w:r>
    <w:r w:rsidR="0061608F" w:rsidRPr="00601CD2">
      <w:rPr>
        <w:lang w:val="es-US"/>
      </w:rPr>
      <w:t xml:space="preserve"> </w:t>
    </w:r>
    <w:r w:rsidR="0061608F" w:rsidRPr="00601CD2">
      <w:rPr>
        <w:rFonts w:ascii="Symbol" w:hAnsi="Symbol"/>
        <w:lang w:val="es-US"/>
      </w:rPr>
      <w:t>·</w:t>
    </w:r>
    <w:r w:rsidR="0061608F" w:rsidRPr="00601CD2">
      <w:rPr>
        <w:lang w:val="es-US"/>
      </w:rPr>
      <w:t xml:space="preserve"> Versi</w:t>
    </w:r>
    <w:r w:rsidRPr="00601CD2">
      <w:rPr>
        <w:lang w:val="es-US"/>
      </w:rPr>
      <w:t>ón</w:t>
    </w:r>
    <w:r w:rsidR="0061608F" w:rsidRPr="00601CD2">
      <w:rPr>
        <w:lang w:val="es-US"/>
      </w:rPr>
      <w:t xml:space="preserve"> 1.0</w:t>
    </w:r>
  </w:p>
  <w:p w14:paraId="79D51309" w14:textId="4FE6FD7D" w:rsidR="00BE4D2F" w:rsidRPr="00601CD2" w:rsidRDefault="00736E2E" w:rsidP="00736E2E">
    <w:pPr>
      <w:pStyle w:val="Footer"/>
      <w:jc w:val="center"/>
      <w:rPr>
        <w:lang w:val="es-US"/>
      </w:rPr>
    </w:pPr>
    <w:r w:rsidRPr="00601CD2">
      <w:rPr>
        <w:lang w:val="es-US"/>
      </w:rPr>
      <w:t>Página</w:t>
    </w:r>
    <w:r w:rsidR="00DE5C4E" w:rsidRPr="00601CD2">
      <w:rPr>
        <w:lang w:val="es-US"/>
      </w:rPr>
      <w:t xml:space="preserve"> </w:t>
    </w:r>
    <w:r w:rsidRPr="00601CD2">
      <w:rPr>
        <w:lang w:val="es-US"/>
      </w:rPr>
      <w:fldChar w:fldCharType="begin"/>
    </w:r>
    <w:r w:rsidRPr="00601CD2">
      <w:rPr>
        <w:lang w:val="es-US"/>
      </w:rPr>
      <w:instrText xml:space="preserve"> PAGE  \* Arabic  \* MERGEFORMAT </w:instrText>
    </w:r>
    <w:r w:rsidRPr="00601CD2">
      <w:rPr>
        <w:lang w:val="es-US"/>
      </w:rPr>
      <w:fldChar w:fldCharType="separate"/>
    </w:r>
    <w:r w:rsidRPr="00601CD2">
      <w:rPr>
        <w:b/>
        <w:bCs/>
        <w:noProof/>
        <w:lang w:val="es-US"/>
      </w:rPr>
      <w:t>1</w:t>
    </w:r>
    <w:r w:rsidRPr="00601CD2">
      <w:rPr>
        <w:lang w:val="es-US"/>
      </w:rPr>
      <w:fldChar w:fldCharType="end"/>
    </w:r>
    <w:r w:rsidRPr="00601CD2">
      <w:rPr>
        <w:lang w:val="es-US"/>
      </w:rPr>
      <w:t xml:space="preserve"> de </w:t>
    </w:r>
    <w:r w:rsidRPr="00601CD2">
      <w:rPr>
        <w:lang w:val="es-US"/>
      </w:rPr>
      <w:fldChar w:fldCharType="begin"/>
    </w:r>
    <w:r w:rsidRPr="00601CD2">
      <w:rPr>
        <w:lang w:val="es-US"/>
      </w:rPr>
      <w:instrText xml:space="preserve"> NUMPAGES  \* Arabic  \* MERGEFORMAT </w:instrText>
    </w:r>
    <w:r w:rsidRPr="00601CD2">
      <w:rPr>
        <w:lang w:val="es-US"/>
      </w:rPr>
      <w:fldChar w:fldCharType="separate"/>
    </w:r>
    <w:r w:rsidRPr="00601CD2">
      <w:rPr>
        <w:b/>
        <w:bCs/>
        <w:noProof/>
        <w:lang w:val="es-US"/>
      </w:rPr>
      <w:t>2</w:t>
    </w:r>
    <w:r w:rsidRPr="00601CD2">
      <w:rPr>
        <w:lang w:val="es-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BD15C" w14:textId="77777777" w:rsidR="00FC7EAD" w:rsidRDefault="00FC7EAD" w:rsidP="0061608F">
      <w:pPr>
        <w:spacing w:after="0" w:line="240" w:lineRule="auto"/>
      </w:pPr>
      <w:r>
        <w:separator/>
      </w:r>
    </w:p>
  </w:footnote>
  <w:footnote w:type="continuationSeparator" w:id="0">
    <w:p w14:paraId="5395FE43" w14:textId="77777777" w:rsidR="00FC7EAD" w:rsidRDefault="00FC7EAD" w:rsidP="0061608F">
      <w:pPr>
        <w:spacing w:after="0" w:line="240" w:lineRule="auto"/>
      </w:pPr>
      <w:r>
        <w:continuationSeparator/>
      </w:r>
    </w:p>
  </w:footnote>
  <w:footnote w:type="continuationNotice" w:id="1">
    <w:p w14:paraId="394D23F3" w14:textId="77777777" w:rsidR="00FC7EAD" w:rsidRDefault="00FC7EA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17BBF"/>
    <w:multiLevelType w:val="hybridMultilevel"/>
    <w:tmpl w:val="5EFEA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5DB1A07"/>
    <w:multiLevelType w:val="hybridMultilevel"/>
    <w:tmpl w:val="FFFFFFFF"/>
    <w:lvl w:ilvl="0" w:tplc="588EA26A">
      <w:start w:val="1"/>
      <w:numFmt w:val="upperRoman"/>
      <w:lvlText w:val="%1."/>
      <w:lvlJc w:val="right"/>
      <w:pPr>
        <w:ind w:left="720" w:hanging="360"/>
      </w:pPr>
    </w:lvl>
    <w:lvl w:ilvl="1" w:tplc="6936C8C2">
      <w:start w:val="1"/>
      <w:numFmt w:val="lowerLetter"/>
      <w:lvlText w:val="%2."/>
      <w:lvlJc w:val="left"/>
      <w:pPr>
        <w:ind w:left="1440" w:hanging="360"/>
      </w:pPr>
    </w:lvl>
    <w:lvl w:ilvl="2" w:tplc="61266D54">
      <w:start w:val="1"/>
      <w:numFmt w:val="lowerRoman"/>
      <w:lvlText w:val="%3."/>
      <w:lvlJc w:val="right"/>
      <w:pPr>
        <w:ind w:left="2160" w:hanging="180"/>
      </w:pPr>
    </w:lvl>
    <w:lvl w:ilvl="3" w:tplc="B1BAA990">
      <w:start w:val="1"/>
      <w:numFmt w:val="decimal"/>
      <w:lvlText w:val="%4."/>
      <w:lvlJc w:val="left"/>
      <w:pPr>
        <w:ind w:left="2880" w:hanging="360"/>
      </w:pPr>
    </w:lvl>
    <w:lvl w:ilvl="4" w:tplc="7BE0C038">
      <w:start w:val="1"/>
      <w:numFmt w:val="lowerLetter"/>
      <w:lvlText w:val="%5."/>
      <w:lvlJc w:val="left"/>
      <w:pPr>
        <w:ind w:left="3600" w:hanging="360"/>
      </w:pPr>
    </w:lvl>
    <w:lvl w:ilvl="5" w:tplc="A824D882">
      <w:start w:val="1"/>
      <w:numFmt w:val="lowerRoman"/>
      <w:lvlText w:val="%6."/>
      <w:lvlJc w:val="right"/>
      <w:pPr>
        <w:ind w:left="4320" w:hanging="180"/>
      </w:pPr>
    </w:lvl>
    <w:lvl w:ilvl="6" w:tplc="9D86CEE6">
      <w:start w:val="1"/>
      <w:numFmt w:val="decimal"/>
      <w:lvlText w:val="%7."/>
      <w:lvlJc w:val="left"/>
      <w:pPr>
        <w:ind w:left="5040" w:hanging="360"/>
      </w:pPr>
    </w:lvl>
    <w:lvl w:ilvl="7" w:tplc="CF9878C4">
      <w:start w:val="1"/>
      <w:numFmt w:val="lowerLetter"/>
      <w:lvlText w:val="%8."/>
      <w:lvlJc w:val="left"/>
      <w:pPr>
        <w:ind w:left="5760" w:hanging="360"/>
      </w:pPr>
    </w:lvl>
    <w:lvl w:ilvl="8" w:tplc="74EE325C">
      <w:start w:val="1"/>
      <w:numFmt w:val="lowerRoman"/>
      <w:lvlText w:val="%9."/>
      <w:lvlJc w:val="right"/>
      <w:pPr>
        <w:ind w:left="6480" w:hanging="180"/>
      </w:pPr>
    </w:lvl>
  </w:abstractNum>
  <w:abstractNum w:abstractNumId="2" w15:restartNumberingAfterBreak="0">
    <w:nsid w:val="1CBF719E"/>
    <w:multiLevelType w:val="hybridMultilevel"/>
    <w:tmpl w:val="F1C0F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EB03FC"/>
    <w:multiLevelType w:val="hybridMultilevel"/>
    <w:tmpl w:val="82A69B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30600F7F"/>
    <w:multiLevelType w:val="hybridMultilevel"/>
    <w:tmpl w:val="4392C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A45305"/>
    <w:multiLevelType w:val="hybridMultilevel"/>
    <w:tmpl w:val="7E8AFAD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15:restartNumberingAfterBreak="0">
    <w:nsid w:val="32535411"/>
    <w:multiLevelType w:val="hybridMultilevel"/>
    <w:tmpl w:val="FFFFFFFF"/>
    <w:lvl w:ilvl="0" w:tplc="8B1884A4">
      <w:start w:val="1"/>
      <w:numFmt w:val="bullet"/>
      <w:lvlText w:val=""/>
      <w:lvlJc w:val="left"/>
      <w:pPr>
        <w:ind w:left="720" w:hanging="360"/>
      </w:pPr>
      <w:rPr>
        <w:rFonts w:ascii="Symbol" w:hAnsi="Symbol" w:hint="default"/>
      </w:rPr>
    </w:lvl>
    <w:lvl w:ilvl="1" w:tplc="13D8A130">
      <w:start w:val="1"/>
      <w:numFmt w:val="bullet"/>
      <w:lvlText w:val="o"/>
      <w:lvlJc w:val="left"/>
      <w:pPr>
        <w:ind w:left="1440" w:hanging="360"/>
      </w:pPr>
      <w:rPr>
        <w:rFonts w:ascii="Courier New" w:hAnsi="Courier New" w:hint="default"/>
      </w:rPr>
    </w:lvl>
    <w:lvl w:ilvl="2" w:tplc="3258E228">
      <w:start w:val="1"/>
      <w:numFmt w:val="bullet"/>
      <w:lvlText w:val=""/>
      <w:lvlJc w:val="left"/>
      <w:pPr>
        <w:ind w:left="2160" w:hanging="360"/>
      </w:pPr>
      <w:rPr>
        <w:rFonts w:ascii="Wingdings" w:hAnsi="Wingdings" w:hint="default"/>
      </w:rPr>
    </w:lvl>
    <w:lvl w:ilvl="3" w:tplc="C7C0B86A">
      <w:start w:val="1"/>
      <w:numFmt w:val="bullet"/>
      <w:lvlText w:val=""/>
      <w:lvlJc w:val="left"/>
      <w:pPr>
        <w:ind w:left="2880" w:hanging="360"/>
      </w:pPr>
      <w:rPr>
        <w:rFonts w:ascii="Symbol" w:hAnsi="Symbol" w:hint="default"/>
      </w:rPr>
    </w:lvl>
    <w:lvl w:ilvl="4" w:tplc="734222BE">
      <w:start w:val="1"/>
      <w:numFmt w:val="bullet"/>
      <w:lvlText w:val="o"/>
      <w:lvlJc w:val="left"/>
      <w:pPr>
        <w:ind w:left="3600" w:hanging="360"/>
      </w:pPr>
      <w:rPr>
        <w:rFonts w:ascii="Courier New" w:hAnsi="Courier New" w:hint="default"/>
      </w:rPr>
    </w:lvl>
    <w:lvl w:ilvl="5" w:tplc="17C8A032">
      <w:start w:val="1"/>
      <w:numFmt w:val="bullet"/>
      <w:lvlText w:val=""/>
      <w:lvlJc w:val="left"/>
      <w:pPr>
        <w:ind w:left="4320" w:hanging="360"/>
      </w:pPr>
      <w:rPr>
        <w:rFonts w:ascii="Wingdings" w:hAnsi="Wingdings" w:hint="default"/>
      </w:rPr>
    </w:lvl>
    <w:lvl w:ilvl="6" w:tplc="0F048DF0">
      <w:start w:val="1"/>
      <w:numFmt w:val="bullet"/>
      <w:lvlText w:val=""/>
      <w:lvlJc w:val="left"/>
      <w:pPr>
        <w:ind w:left="5040" w:hanging="360"/>
      </w:pPr>
      <w:rPr>
        <w:rFonts w:ascii="Symbol" w:hAnsi="Symbol" w:hint="default"/>
      </w:rPr>
    </w:lvl>
    <w:lvl w:ilvl="7" w:tplc="A4365BC6">
      <w:start w:val="1"/>
      <w:numFmt w:val="bullet"/>
      <w:lvlText w:val="o"/>
      <w:lvlJc w:val="left"/>
      <w:pPr>
        <w:ind w:left="5760" w:hanging="360"/>
      </w:pPr>
      <w:rPr>
        <w:rFonts w:ascii="Courier New" w:hAnsi="Courier New" w:hint="default"/>
      </w:rPr>
    </w:lvl>
    <w:lvl w:ilvl="8" w:tplc="2AD20A52">
      <w:start w:val="1"/>
      <w:numFmt w:val="bullet"/>
      <w:lvlText w:val=""/>
      <w:lvlJc w:val="left"/>
      <w:pPr>
        <w:ind w:left="6480" w:hanging="360"/>
      </w:pPr>
      <w:rPr>
        <w:rFonts w:ascii="Wingdings" w:hAnsi="Wingdings" w:hint="default"/>
      </w:rPr>
    </w:lvl>
  </w:abstractNum>
  <w:abstractNum w:abstractNumId="7" w15:restartNumberingAfterBreak="0">
    <w:nsid w:val="374F0431"/>
    <w:multiLevelType w:val="hybridMultilevel"/>
    <w:tmpl w:val="1CE042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BE1197"/>
    <w:multiLevelType w:val="hybridMultilevel"/>
    <w:tmpl w:val="CCECF0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FA77FB"/>
    <w:multiLevelType w:val="hybridMultilevel"/>
    <w:tmpl w:val="5824C4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FDE7828"/>
    <w:multiLevelType w:val="hybridMultilevel"/>
    <w:tmpl w:val="F6BC4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6"/>
  </w:num>
  <w:num w:numId="4">
    <w:abstractNumId w:val="1"/>
  </w:num>
  <w:num w:numId="5">
    <w:abstractNumId w:val="7"/>
  </w:num>
  <w:num w:numId="6">
    <w:abstractNumId w:val="3"/>
  </w:num>
  <w:num w:numId="7">
    <w:abstractNumId w:val="0"/>
  </w:num>
  <w:num w:numId="8">
    <w:abstractNumId w:val="0"/>
  </w:num>
  <w:num w:numId="9">
    <w:abstractNumId w:val="5"/>
  </w:num>
  <w:num w:numId="10">
    <w:abstractNumId w:val="3"/>
  </w:num>
  <w:num w:numId="11">
    <w:abstractNumId w:val="10"/>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FFB403F"/>
    <w:rsid w:val="00001328"/>
    <w:rsid w:val="00002C10"/>
    <w:rsid w:val="00003811"/>
    <w:rsid w:val="00005A6E"/>
    <w:rsid w:val="00006089"/>
    <w:rsid w:val="00006837"/>
    <w:rsid w:val="000153C6"/>
    <w:rsid w:val="00016892"/>
    <w:rsid w:val="00020DD6"/>
    <w:rsid w:val="0002423A"/>
    <w:rsid w:val="00027BBF"/>
    <w:rsid w:val="00031116"/>
    <w:rsid w:val="000328E6"/>
    <w:rsid w:val="00033BB6"/>
    <w:rsid w:val="0004016D"/>
    <w:rsid w:val="0004517F"/>
    <w:rsid w:val="0004595F"/>
    <w:rsid w:val="00050945"/>
    <w:rsid w:val="00052FB5"/>
    <w:rsid w:val="0005361E"/>
    <w:rsid w:val="0006048E"/>
    <w:rsid w:val="00062649"/>
    <w:rsid w:val="00067147"/>
    <w:rsid w:val="0006754C"/>
    <w:rsid w:val="000829C1"/>
    <w:rsid w:val="0009086E"/>
    <w:rsid w:val="000917C4"/>
    <w:rsid w:val="000A125F"/>
    <w:rsid w:val="000B364E"/>
    <w:rsid w:val="000C4AC2"/>
    <w:rsid w:val="000C7C2F"/>
    <w:rsid w:val="000D1B53"/>
    <w:rsid w:val="000D1D95"/>
    <w:rsid w:val="000D475C"/>
    <w:rsid w:val="000E170A"/>
    <w:rsid w:val="000E67D8"/>
    <w:rsid w:val="000F1C5C"/>
    <w:rsid w:val="000F28B6"/>
    <w:rsid w:val="00103AFF"/>
    <w:rsid w:val="0010758A"/>
    <w:rsid w:val="00112DC6"/>
    <w:rsid w:val="00114EB7"/>
    <w:rsid w:val="00116242"/>
    <w:rsid w:val="001215C4"/>
    <w:rsid w:val="00121E36"/>
    <w:rsid w:val="00124042"/>
    <w:rsid w:val="00124A72"/>
    <w:rsid w:val="00125068"/>
    <w:rsid w:val="00127E3C"/>
    <w:rsid w:val="001320D6"/>
    <w:rsid w:val="001327B1"/>
    <w:rsid w:val="00133DD9"/>
    <w:rsid w:val="001428FA"/>
    <w:rsid w:val="00151E2D"/>
    <w:rsid w:val="00151FF7"/>
    <w:rsid w:val="00164200"/>
    <w:rsid w:val="001660B3"/>
    <w:rsid w:val="00171D35"/>
    <w:rsid w:val="00175241"/>
    <w:rsid w:val="001811EE"/>
    <w:rsid w:val="001953D9"/>
    <w:rsid w:val="0019738A"/>
    <w:rsid w:val="00197ECC"/>
    <w:rsid w:val="001A649D"/>
    <w:rsid w:val="001A6A53"/>
    <w:rsid w:val="001B5EC0"/>
    <w:rsid w:val="001C0B6E"/>
    <w:rsid w:val="001C0D49"/>
    <w:rsid w:val="001C17F5"/>
    <w:rsid w:val="001E65E9"/>
    <w:rsid w:val="001E74D3"/>
    <w:rsid w:val="001F3629"/>
    <w:rsid w:val="0020380D"/>
    <w:rsid w:val="002141F7"/>
    <w:rsid w:val="0021431C"/>
    <w:rsid w:val="00222B5A"/>
    <w:rsid w:val="002315EF"/>
    <w:rsid w:val="00232F03"/>
    <w:rsid w:val="00235BB7"/>
    <w:rsid w:val="00243F58"/>
    <w:rsid w:val="00247E91"/>
    <w:rsid w:val="00255085"/>
    <w:rsid w:val="00261AA6"/>
    <w:rsid w:val="00267B52"/>
    <w:rsid w:val="00271039"/>
    <w:rsid w:val="0028711A"/>
    <w:rsid w:val="002A4420"/>
    <w:rsid w:val="002A6772"/>
    <w:rsid w:val="002B23AF"/>
    <w:rsid w:val="002B2F1C"/>
    <w:rsid w:val="002C0245"/>
    <w:rsid w:val="002C53D2"/>
    <w:rsid w:val="002E1D40"/>
    <w:rsid w:val="002E59A7"/>
    <w:rsid w:val="002F1DE3"/>
    <w:rsid w:val="002F334B"/>
    <w:rsid w:val="002F7D02"/>
    <w:rsid w:val="00303C74"/>
    <w:rsid w:val="00303E54"/>
    <w:rsid w:val="00305CAA"/>
    <w:rsid w:val="00316DF8"/>
    <w:rsid w:val="003211F7"/>
    <w:rsid w:val="00324484"/>
    <w:rsid w:val="003405FD"/>
    <w:rsid w:val="00350EE7"/>
    <w:rsid w:val="00375B30"/>
    <w:rsid w:val="00375F02"/>
    <w:rsid w:val="003805B3"/>
    <w:rsid w:val="00385813"/>
    <w:rsid w:val="00386A9B"/>
    <w:rsid w:val="00395EBB"/>
    <w:rsid w:val="003A1638"/>
    <w:rsid w:val="003A1926"/>
    <w:rsid w:val="003A2166"/>
    <w:rsid w:val="003A28A0"/>
    <w:rsid w:val="003A53B1"/>
    <w:rsid w:val="003A676C"/>
    <w:rsid w:val="003B79E1"/>
    <w:rsid w:val="003C1B5F"/>
    <w:rsid w:val="003D00F0"/>
    <w:rsid w:val="003E457C"/>
    <w:rsid w:val="003E4F0E"/>
    <w:rsid w:val="003E7728"/>
    <w:rsid w:val="0040521A"/>
    <w:rsid w:val="0040762F"/>
    <w:rsid w:val="00415FFF"/>
    <w:rsid w:val="0042423D"/>
    <w:rsid w:val="004316AB"/>
    <w:rsid w:val="00434A4D"/>
    <w:rsid w:val="00436C98"/>
    <w:rsid w:val="00446434"/>
    <w:rsid w:val="00450740"/>
    <w:rsid w:val="00452F3A"/>
    <w:rsid w:val="00453A48"/>
    <w:rsid w:val="00455C0C"/>
    <w:rsid w:val="00467651"/>
    <w:rsid w:val="00474CA9"/>
    <w:rsid w:val="00475C80"/>
    <w:rsid w:val="00477D3A"/>
    <w:rsid w:val="004806ED"/>
    <w:rsid w:val="00493C06"/>
    <w:rsid w:val="00494BD6"/>
    <w:rsid w:val="00495900"/>
    <w:rsid w:val="004A333A"/>
    <w:rsid w:val="004A430F"/>
    <w:rsid w:val="004A44A1"/>
    <w:rsid w:val="004A49F0"/>
    <w:rsid w:val="004A67C7"/>
    <w:rsid w:val="004B5403"/>
    <w:rsid w:val="004D1E29"/>
    <w:rsid w:val="004E08BD"/>
    <w:rsid w:val="004E09A9"/>
    <w:rsid w:val="004E1761"/>
    <w:rsid w:val="004E47BB"/>
    <w:rsid w:val="004E52ED"/>
    <w:rsid w:val="004F1A92"/>
    <w:rsid w:val="004F2016"/>
    <w:rsid w:val="004F3C68"/>
    <w:rsid w:val="00513E2E"/>
    <w:rsid w:val="00514FBC"/>
    <w:rsid w:val="005176F9"/>
    <w:rsid w:val="00530FEC"/>
    <w:rsid w:val="005357FC"/>
    <w:rsid w:val="00540875"/>
    <w:rsid w:val="00541ECA"/>
    <w:rsid w:val="005455BE"/>
    <w:rsid w:val="00555C6D"/>
    <w:rsid w:val="00570505"/>
    <w:rsid w:val="00577E13"/>
    <w:rsid w:val="0058021E"/>
    <w:rsid w:val="00582A4E"/>
    <w:rsid w:val="00585508"/>
    <w:rsid w:val="0059169B"/>
    <w:rsid w:val="005A17E3"/>
    <w:rsid w:val="005A7AB8"/>
    <w:rsid w:val="005B0C0D"/>
    <w:rsid w:val="005B30A9"/>
    <w:rsid w:val="005B356A"/>
    <w:rsid w:val="005C4EE0"/>
    <w:rsid w:val="005D3661"/>
    <w:rsid w:val="005D66D0"/>
    <w:rsid w:val="005D7930"/>
    <w:rsid w:val="005E53B0"/>
    <w:rsid w:val="005E7342"/>
    <w:rsid w:val="00600B1D"/>
    <w:rsid w:val="00601CD2"/>
    <w:rsid w:val="0061565E"/>
    <w:rsid w:val="0061608F"/>
    <w:rsid w:val="006232D2"/>
    <w:rsid w:val="00623B5E"/>
    <w:rsid w:val="006346D6"/>
    <w:rsid w:val="006425AE"/>
    <w:rsid w:val="00644ED6"/>
    <w:rsid w:val="0065129F"/>
    <w:rsid w:val="00652672"/>
    <w:rsid w:val="006534D1"/>
    <w:rsid w:val="006563B4"/>
    <w:rsid w:val="00657471"/>
    <w:rsid w:val="00665021"/>
    <w:rsid w:val="006850AF"/>
    <w:rsid w:val="006912BE"/>
    <w:rsid w:val="00696128"/>
    <w:rsid w:val="006A0897"/>
    <w:rsid w:val="006A26B3"/>
    <w:rsid w:val="006A3142"/>
    <w:rsid w:val="006B080F"/>
    <w:rsid w:val="006B11D7"/>
    <w:rsid w:val="006B4E72"/>
    <w:rsid w:val="006C0330"/>
    <w:rsid w:val="006D48F2"/>
    <w:rsid w:val="006E36AF"/>
    <w:rsid w:val="006E36FC"/>
    <w:rsid w:val="006F0CA9"/>
    <w:rsid w:val="006F2650"/>
    <w:rsid w:val="00704B76"/>
    <w:rsid w:val="007117A6"/>
    <w:rsid w:val="00711D6B"/>
    <w:rsid w:val="00722943"/>
    <w:rsid w:val="00724875"/>
    <w:rsid w:val="007279C2"/>
    <w:rsid w:val="00736E2E"/>
    <w:rsid w:val="00741631"/>
    <w:rsid w:val="0074545D"/>
    <w:rsid w:val="007507EE"/>
    <w:rsid w:val="00763D2A"/>
    <w:rsid w:val="007644A2"/>
    <w:rsid w:val="00772189"/>
    <w:rsid w:val="00773C4B"/>
    <w:rsid w:val="007767AE"/>
    <w:rsid w:val="00783A61"/>
    <w:rsid w:val="00784CD3"/>
    <w:rsid w:val="007936D0"/>
    <w:rsid w:val="00795A17"/>
    <w:rsid w:val="007A3E8B"/>
    <w:rsid w:val="007A4637"/>
    <w:rsid w:val="007A6B6C"/>
    <w:rsid w:val="007A7541"/>
    <w:rsid w:val="007C7798"/>
    <w:rsid w:val="007D11E4"/>
    <w:rsid w:val="007D256C"/>
    <w:rsid w:val="007D7740"/>
    <w:rsid w:val="007E553B"/>
    <w:rsid w:val="007E79BD"/>
    <w:rsid w:val="007F0C66"/>
    <w:rsid w:val="007F42A8"/>
    <w:rsid w:val="007F4CE7"/>
    <w:rsid w:val="00801C23"/>
    <w:rsid w:val="008020DA"/>
    <w:rsid w:val="00802A30"/>
    <w:rsid w:val="00814CB1"/>
    <w:rsid w:val="00822142"/>
    <w:rsid w:val="00824F9C"/>
    <w:rsid w:val="008269D8"/>
    <w:rsid w:val="00832B1F"/>
    <w:rsid w:val="00836574"/>
    <w:rsid w:val="008435B6"/>
    <w:rsid w:val="00846BA9"/>
    <w:rsid w:val="00857D99"/>
    <w:rsid w:val="00863CCE"/>
    <w:rsid w:val="00864C96"/>
    <w:rsid w:val="00873108"/>
    <w:rsid w:val="008A10C7"/>
    <w:rsid w:val="008A53BC"/>
    <w:rsid w:val="008A7615"/>
    <w:rsid w:val="008B7BDF"/>
    <w:rsid w:val="008C16E3"/>
    <w:rsid w:val="008C3F01"/>
    <w:rsid w:val="008E10F4"/>
    <w:rsid w:val="008E31BC"/>
    <w:rsid w:val="008E5CFA"/>
    <w:rsid w:val="008E6F29"/>
    <w:rsid w:val="008F300E"/>
    <w:rsid w:val="008F3EB1"/>
    <w:rsid w:val="008F4F29"/>
    <w:rsid w:val="008F52A8"/>
    <w:rsid w:val="008F64B6"/>
    <w:rsid w:val="008F7050"/>
    <w:rsid w:val="00902972"/>
    <w:rsid w:val="00904E19"/>
    <w:rsid w:val="00904E60"/>
    <w:rsid w:val="0091345A"/>
    <w:rsid w:val="00923AB3"/>
    <w:rsid w:val="00926F06"/>
    <w:rsid w:val="00931DFF"/>
    <w:rsid w:val="00946E3F"/>
    <w:rsid w:val="00950471"/>
    <w:rsid w:val="00965779"/>
    <w:rsid w:val="00971AA2"/>
    <w:rsid w:val="00974AAC"/>
    <w:rsid w:val="009814C1"/>
    <w:rsid w:val="00985BFF"/>
    <w:rsid w:val="0098704F"/>
    <w:rsid w:val="00987217"/>
    <w:rsid w:val="00992356"/>
    <w:rsid w:val="009B1687"/>
    <w:rsid w:val="009B2787"/>
    <w:rsid w:val="009B4AC3"/>
    <w:rsid w:val="009B4DC8"/>
    <w:rsid w:val="009B5C78"/>
    <w:rsid w:val="009D1244"/>
    <w:rsid w:val="009E116C"/>
    <w:rsid w:val="009E132E"/>
    <w:rsid w:val="009E70D5"/>
    <w:rsid w:val="009E7168"/>
    <w:rsid w:val="009F2AD0"/>
    <w:rsid w:val="009F5545"/>
    <w:rsid w:val="009F65B4"/>
    <w:rsid w:val="00A0501A"/>
    <w:rsid w:val="00A169F3"/>
    <w:rsid w:val="00A17183"/>
    <w:rsid w:val="00A22F42"/>
    <w:rsid w:val="00A35676"/>
    <w:rsid w:val="00A46886"/>
    <w:rsid w:val="00A50ED2"/>
    <w:rsid w:val="00A621A9"/>
    <w:rsid w:val="00A639A7"/>
    <w:rsid w:val="00A65DC3"/>
    <w:rsid w:val="00A74B54"/>
    <w:rsid w:val="00A7728C"/>
    <w:rsid w:val="00A81A5D"/>
    <w:rsid w:val="00A84360"/>
    <w:rsid w:val="00A92BA7"/>
    <w:rsid w:val="00AA1C34"/>
    <w:rsid w:val="00AA26BE"/>
    <w:rsid w:val="00AB03C5"/>
    <w:rsid w:val="00AB071A"/>
    <w:rsid w:val="00AC71B8"/>
    <w:rsid w:val="00AC730D"/>
    <w:rsid w:val="00AD4C7E"/>
    <w:rsid w:val="00AD6661"/>
    <w:rsid w:val="00AE1A88"/>
    <w:rsid w:val="00AE1F8B"/>
    <w:rsid w:val="00AE2E6E"/>
    <w:rsid w:val="00AE745A"/>
    <w:rsid w:val="00AE7FA7"/>
    <w:rsid w:val="00AF176A"/>
    <w:rsid w:val="00B03E19"/>
    <w:rsid w:val="00B11A89"/>
    <w:rsid w:val="00B3006F"/>
    <w:rsid w:val="00B32286"/>
    <w:rsid w:val="00B337EE"/>
    <w:rsid w:val="00B3380D"/>
    <w:rsid w:val="00B363C5"/>
    <w:rsid w:val="00B46A88"/>
    <w:rsid w:val="00B65DFA"/>
    <w:rsid w:val="00B65FEA"/>
    <w:rsid w:val="00B71757"/>
    <w:rsid w:val="00B73232"/>
    <w:rsid w:val="00B8581C"/>
    <w:rsid w:val="00BA06F6"/>
    <w:rsid w:val="00BA55ED"/>
    <w:rsid w:val="00BA744E"/>
    <w:rsid w:val="00BA76A3"/>
    <w:rsid w:val="00BB018C"/>
    <w:rsid w:val="00BB777E"/>
    <w:rsid w:val="00BC20B3"/>
    <w:rsid w:val="00BC6CEA"/>
    <w:rsid w:val="00BD1E55"/>
    <w:rsid w:val="00BD68F7"/>
    <w:rsid w:val="00BE0F92"/>
    <w:rsid w:val="00BE3DD2"/>
    <w:rsid w:val="00BE4D2F"/>
    <w:rsid w:val="00BE6591"/>
    <w:rsid w:val="00C02D5B"/>
    <w:rsid w:val="00C02FAE"/>
    <w:rsid w:val="00C03938"/>
    <w:rsid w:val="00C07C04"/>
    <w:rsid w:val="00C10536"/>
    <w:rsid w:val="00C215FC"/>
    <w:rsid w:val="00C32228"/>
    <w:rsid w:val="00C3573C"/>
    <w:rsid w:val="00C373E0"/>
    <w:rsid w:val="00C42BF1"/>
    <w:rsid w:val="00C5026A"/>
    <w:rsid w:val="00C51372"/>
    <w:rsid w:val="00C51BD3"/>
    <w:rsid w:val="00C578D8"/>
    <w:rsid w:val="00C61A9D"/>
    <w:rsid w:val="00C63A25"/>
    <w:rsid w:val="00C75F35"/>
    <w:rsid w:val="00C76192"/>
    <w:rsid w:val="00C80C32"/>
    <w:rsid w:val="00C822AA"/>
    <w:rsid w:val="00C83A1A"/>
    <w:rsid w:val="00C90A70"/>
    <w:rsid w:val="00CA095D"/>
    <w:rsid w:val="00CA681B"/>
    <w:rsid w:val="00CB60A6"/>
    <w:rsid w:val="00CB7CBD"/>
    <w:rsid w:val="00CC7D63"/>
    <w:rsid w:val="00CE00EA"/>
    <w:rsid w:val="00CF1B6F"/>
    <w:rsid w:val="00CF27F1"/>
    <w:rsid w:val="00D050EB"/>
    <w:rsid w:val="00D127A5"/>
    <w:rsid w:val="00D20371"/>
    <w:rsid w:val="00D20CC3"/>
    <w:rsid w:val="00D265ED"/>
    <w:rsid w:val="00D328E6"/>
    <w:rsid w:val="00D37B6A"/>
    <w:rsid w:val="00D41821"/>
    <w:rsid w:val="00D50CAF"/>
    <w:rsid w:val="00D5519E"/>
    <w:rsid w:val="00D55FDC"/>
    <w:rsid w:val="00D5707E"/>
    <w:rsid w:val="00D704CE"/>
    <w:rsid w:val="00D71ED7"/>
    <w:rsid w:val="00D73CB5"/>
    <w:rsid w:val="00D7450D"/>
    <w:rsid w:val="00D74E9B"/>
    <w:rsid w:val="00D75EB9"/>
    <w:rsid w:val="00D77C38"/>
    <w:rsid w:val="00D83E93"/>
    <w:rsid w:val="00D900BB"/>
    <w:rsid w:val="00D91257"/>
    <w:rsid w:val="00D93704"/>
    <w:rsid w:val="00DA24FB"/>
    <w:rsid w:val="00DC576C"/>
    <w:rsid w:val="00DC7C5D"/>
    <w:rsid w:val="00DD00DD"/>
    <w:rsid w:val="00DD092B"/>
    <w:rsid w:val="00DD3D28"/>
    <w:rsid w:val="00DE0AF0"/>
    <w:rsid w:val="00DE24AE"/>
    <w:rsid w:val="00DE5C4E"/>
    <w:rsid w:val="00E00C2A"/>
    <w:rsid w:val="00E04109"/>
    <w:rsid w:val="00E16CB2"/>
    <w:rsid w:val="00E27CC9"/>
    <w:rsid w:val="00E348EA"/>
    <w:rsid w:val="00E35E88"/>
    <w:rsid w:val="00E43261"/>
    <w:rsid w:val="00E46EF4"/>
    <w:rsid w:val="00E50F67"/>
    <w:rsid w:val="00E53CB1"/>
    <w:rsid w:val="00E607A6"/>
    <w:rsid w:val="00E64010"/>
    <w:rsid w:val="00E727BC"/>
    <w:rsid w:val="00E8178C"/>
    <w:rsid w:val="00E910B8"/>
    <w:rsid w:val="00EA1436"/>
    <w:rsid w:val="00EA1BDE"/>
    <w:rsid w:val="00EA4CBC"/>
    <w:rsid w:val="00EA6DCB"/>
    <w:rsid w:val="00EC31A4"/>
    <w:rsid w:val="00ED1BB0"/>
    <w:rsid w:val="00ED319D"/>
    <w:rsid w:val="00ED70F7"/>
    <w:rsid w:val="00EE0418"/>
    <w:rsid w:val="00EE077C"/>
    <w:rsid w:val="00EE2CB1"/>
    <w:rsid w:val="00EE622B"/>
    <w:rsid w:val="00EE72A0"/>
    <w:rsid w:val="00F13054"/>
    <w:rsid w:val="00F132B4"/>
    <w:rsid w:val="00F3347B"/>
    <w:rsid w:val="00F34472"/>
    <w:rsid w:val="00F43423"/>
    <w:rsid w:val="00F47BF8"/>
    <w:rsid w:val="00F52811"/>
    <w:rsid w:val="00F5654A"/>
    <w:rsid w:val="00F60663"/>
    <w:rsid w:val="00F60F09"/>
    <w:rsid w:val="00F74133"/>
    <w:rsid w:val="00F74E94"/>
    <w:rsid w:val="00F77851"/>
    <w:rsid w:val="00F77BCE"/>
    <w:rsid w:val="00F77F50"/>
    <w:rsid w:val="00F81D6E"/>
    <w:rsid w:val="00F850D6"/>
    <w:rsid w:val="00F85561"/>
    <w:rsid w:val="00F856C9"/>
    <w:rsid w:val="00F87567"/>
    <w:rsid w:val="00F9018C"/>
    <w:rsid w:val="00F93A41"/>
    <w:rsid w:val="00F96E4A"/>
    <w:rsid w:val="00FA081D"/>
    <w:rsid w:val="00FA0E58"/>
    <w:rsid w:val="00FA7929"/>
    <w:rsid w:val="00FB53E6"/>
    <w:rsid w:val="00FC25D6"/>
    <w:rsid w:val="00FC7EAD"/>
    <w:rsid w:val="00FD6A19"/>
    <w:rsid w:val="00FD77F2"/>
    <w:rsid w:val="00FD7BF2"/>
    <w:rsid w:val="00FE3542"/>
    <w:rsid w:val="00FF1793"/>
    <w:rsid w:val="00FF19B7"/>
    <w:rsid w:val="00FF3AFC"/>
    <w:rsid w:val="00FF44EF"/>
    <w:rsid w:val="0123FF30"/>
    <w:rsid w:val="018C6146"/>
    <w:rsid w:val="01F6B762"/>
    <w:rsid w:val="0241085D"/>
    <w:rsid w:val="032EA6FB"/>
    <w:rsid w:val="0361373D"/>
    <w:rsid w:val="0400D4F8"/>
    <w:rsid w:val="0418A1DF"/>
    <w:rsid w:val="042FE579"/>
    <w:rsid w:val="0508AB25"/>
    <w:rsid w:val="0526810F"/>
    <w:rsid w:val="057BCD2B"/>
    <w:rsid w:val="065FD269"/>
    <w:rsid w:val="07047158"/>
    <w:rsid w:val="07486C28"/>
    <w:rsid w:val="07979BB4"/>
    <w:rsid w:val="08CA2BB6"/>
    <w:rsid w:val="08ECDC50"/>
    <w:rsid w:val="094E1B4D"/>
    <w:rsid w:val="099500CB"/>
    <w:rsid w:val="09BDAF89"/>
    <w:rsid w:val="09CD101B"/>
    <w:rsid w:val="0A3A7E83"/>
    <w:rsid w:val="0B57BD1C"/>
    <w:rsid w:val="0C69891D"/>
    <w:rsid w:val="0D352A90"/>
    <w:rsid w:val="0DA0962A"/>
    <w:rsid w:val="0E6EE7A1"/>
    <w:rsid w:val="100A3F6F"/>
    <w:rsid w:val="115CF6A9"/>
    <w:rsid w:val="11D8D0DE"/>
    <w:rsid w:val="1295CCEB"/>
    <w:rsid w:val="13B1B8EA"/>
    <w:rsid w:val="14E2D113"/>
    <w:rsid w:val="1587DF46"/>
    <w:rsid w:val="15C61AFB"/>
    <w:rsid w:val="15E17F08"/>
    <w:rsid w:val="169861F9"/>
    <w:rsid w:val="17096468"/>
    <w:rsid w:val="17FEFF6A"/>
    <w:rsid w:val="18108FD9"/>
    <w:rsid w:val="1838A1DE"/>
    <w:rsid w:val="184888E5"/>
    <w:rsid w:val="18E88C59"/>
    <w:rsid w:val="19507980"/>
    <w:rsid w:val="195A67CE"/>
    <w:rsid w:val="19CABA66"/>
    <w:rsid w:val="1A3B2284"/>
    <w:rsid w:val="1AFFBD85"/>
    <w:rsid w:val="1B123BC9"/>
    <w:rsid w:val="1C5E9E4C"/>
    <w:rsid w:val="1C67B56B"/>
    <w:rsid w:val="1C7DB956"/>
    <w:rsid w:val="1CCC5E8B"/>
    <w:rsid w:val="1DBFD24D"/>
    <w:rsid w:val="1DE9A22C"/>
    <w:rsid w:val="1E044E24"/>
    <w:rsid w:val="1E40147C"/>
    <w:rsid w:val="1F7E0DC4"/>
    <w:rsid w:val="1FBE70E6"/>
    <w:rsid w:val="20F6607F"/>
    <w:rsid w:val="21EB58EC"/>
    <w:rsid w:val="23E872DA"/>
    <w:rsid w:val="2591DCC4"/>
    <w:rsid w:val="26D81C32"/>
    <w:rsid w:val="26F83513"/>
    <w:rsid w:val="274D8C36"/>
    <w:rsid w:val="283ADFC4"/>
    <w:rsid w:val="283B8DAD"/>
    <w:rsid w:val="28B45E0A"/>
    <w:rsid w:val="2972CF5D"/>
    <w:rsid w:val="2985B61C"/>
    <w:rsid w:val="29BEC55B"/>
    <w:rsid w:val="29D21530"/>
    <w:rsid w:val="2AE7FD21"/>
    <w:rsid w:val="2B2CF21F"/>
    <w:rsid w:val="2B4787CB"/>
    <w:rsid w:val="2B8EBD10"/>
    <w:rsid w:val="2BA67065"/>
    <w:rsid w:val="2DAD85CC"/>
    <w:rsid w:val="2DC472C2"/>
    <w:rsid w:val="2E44F2AD"/>
    <w:rsid w:val="2E5E8CB1"/>
    <w:rsid w:val="3024DEB2"/>
    <w:rsid w:val="30B74EA2"/>
    <w:rsid w:val="31464C8F"/>
    <w:rsid w:val="31712152"/>
    <w:rsid w:val="324F5886"/>
    <w:rsid w:val="334F98CA"/>
    <w:rsid w:val="357FDCD0"/>
    <w:rsid w:val="3609768D"/>
    <w:rsid w:val="3641AB25"/>
    <w:rsid w:val="37AF566D"/>
    <w:rsid w:val="3879F7F8"/>
    <w:rsid w:val="3933BF71"/>
    <w:rsid w:val="39986891"/>
    <w:rsid w:val="39AD6E97"/>
    <w:rsid w:val="3A1FEF14"/>
    <w:rsid w:val="3A2FBDDA"/>
    <w:rsid w:val="3A420A7F"/>
    <w:rsid w:val="3B19E396"/>
    <w:rsid w:val="3BCC07A8"/>
    <w:rsid w:val="3C351990"/>
    <w:rsid w:val="3C9ADA15"/>
    <w:rsid w:val="3D48EE30"/>
    <w:rsid w:val="3DACB085"/>
    <w:rsid w:val="3DDC4BDE"/>
    <w:rsid w:val="3DFFA6BF"/>
    <w:rsid w:val="3E857246"/>
    <w:rsid w:val="3FD43452"/>
    <w:rsid w:val="3FFB403F"/>
    <w:rsid w:val="4156642B"/>
    <w:rsid w:val="422E3C16"/>
    <w:rsid w:val="431086ED"/>
    <w:rsid w:val="43FA1E7E"/>
    <w:rsid w:val="44204052"/>
    <w:rsid w:val="4506E9CA"/>
    <w:rsid w:val="45519394"/>
    <w:rsid w:val="461228B8"/>
    <w:rsid w:val="461C3CBD"/>
    <w:rsid w:val="46502EEE"/>
    <w:rsid w:val="4738ECEC"/>
    <w:rsid w:val="48B76F69"/>
    <w:rsid w:val="49AE7590"/>
    <w:rsid w:val="4C067411"/>
    <w:rsid w:val="4C8B7E41"/>
    <w:rsid w:val="4CC4E564"/>
    <w:rsid w:val="4DBD3941"/>
    <w:rsid w:val="4E1A0538"/>
    <w:rsid w:val="4E7F0826"/>
    <w:rsid w:val="4EC86011"/>
    <w:rsid w:val="4FF2BE17"/>
    <w:rsid w:val="509C5F35"/>
    <w:rsid w:val="50A5744E"/>
    <w:rsid w:val="515CE1AB"/>
    <w:rsid w:val="5190D094"/>
    <w:rsid w:val="51ACCFBD"/>
    <w:rsid w:val="52974374"/>
    <w:rsid w:val="53362021"/>
    <w:rsid w:val="53AF9C76"/>
    <w:rsid w:val="546E0FBA"/>
    <w:rsid w:val="54BDCD76"/>
    <w:rsid w:val="56875959"/>
    <w:rsid w:val="568F7821"/>
    <w:rsid w:val="5690FEA8"/>
    <w:rsid w:val="56A1AED1"/>
    <w:rsid w:val="56BF496A"/>
    <w:rsid w:val="56F13821"/>
    <w:rsid w:val="57A972F1"/>
    <w:rsid w:val="59639CC2"/>
    <w:rsid w:val="59C607F4"/>
    <w:rsid w:val="59ED8B50"/>
    <w:rsid w:val="5A60F32C"/>
    <w:rsid w:val="5BD3A3A8"/>
    <w:rsid w:val="5C523426"/>
    <w:rsid w:val="5C85D578"/>
    <w:rsid w:val="5D0D0C5B"/>
    <w:rsid w:val="5E7226CF"/>
    <w:rsid w:val="5EB0F08C"/>
    <w:rsid w:val="61F3D8A4"/>
    <w:rsid w:val="6210300A"/>
    <w:rsid w:val="62140AC6"/>
    <w:rsid w:val="63D8C1F2"/>
    <w:rsid w:val="6463A7A5"/>
    <w:rsid w:val="66656031"/>
    <w:rsid w:val="67404D59"/>
    <w:rsid w:val="67D08435"/>
    <w:rsid w:val="67D7CAB8"/>
    <w:rsid w:val="68F31007"/>
    <w:rsid w:val="6942FAB5"/>
    <w:rsid w:val="69632AC9"/>
    <w:rsid w:val="69C4FB0D"/>
    <w:rsid w:val="69CF127A"/>
    <w:rsid w:val="6A8C9EE8"/>
    <w:rsid w:val="6B0505A8"/>
    <w:rsid w:val="6BE80C27"/>
    <w:rsid w:val="6C098570"/>
    <w:rsid w:val="6C217EDD"/>
    <w:rsid w:val="6E5619D3"/>
    <w:rsid w:val="6EB2FD63"/>
    <w:rsid w:val="70F31A1E"/>
    <w:rsid w:val="71473190"/>
    <w:rsid w:val="7475B787"/>
    <w:rsid w:val="76883628"/>
    <w:rsid w:val="76C227A4"/>
    <w:rsid w:val="77126729"/>
    <w:rsid w:val="77C025C1"/>
    <w:rsid w:val="783AB8ED"/>
    <w:rsid w:val="7868B328"/>
    <w:rsid w:val="7A00140A"/>
    <w:rsid w:val="7AB33B0A"/>
    <w:rsid w:val="7B4B7E09"/>
    <w:rsid w:val="7C2765E0"/>
    <w:rsid w:val="7CE5D924"/>
    <w:rsid w:val="7CFC9705"/>
    <w:rsid w:val="7D4A8244"/>
    <w:rsid w:val="7D5F5388"/>
    <w:rsid w:val="7ED9132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FB403F"/>
  <w15:chartTrackingRefBased/>
  <w15:docId w15:val="{B84E6AA8-E35C-4C50-8CDB-99C9FCD9B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E36AF"/>
    <w:pPr>
      <w:keepNext/>
      <w:keepLines/>
      <w:spacing w:before="240" w:after="0"/>
      <w:outlineLvl w:val="0"/>
    </w:pPr>
    <w:rPr>
      <w:rFonts w:asciiTheme="majorHAnsi" w:eastAsiaTheme="majorEastAsia" w:hAnsiTheme="majorHAnsi" w:cstheme="majorBidi"/>
      <w:b/>
      <w:color w:val="1F3864" w:themeColor="accent1" w:themeShade="80"/>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F4F29"/>
    <w:pPr>
      <w:spacing w:after="0" w:line="240" w:lineRule="auto"/>
    </w:pPr>
    <w:rPr>
      <w:rFonts w:eastAsiaTheme="minorEastAsia"/>
    </w:rPr>
  </w:style>
  <w:style w:type="character" w:customStyle="1" w:styleId="NoSpacingChar">
    <w:name w:val="No Spacing Char"/>
    <w:basedOn w:val="DefaultParagraphFont"/>
    <w:link w:val="NoSpacing"/>
    <w:uiPriority w:val="1"/>
    <w:rsid w:val="008F4F29"/>
    <w:rPr>
      <w:rFonts w:eastAsiaTheme="minorEastAsia"/>
    </w:rPr>
  </w:style>
  <w:style w:type="character" w:customStyle="1" w:styleId="Heading1Char">
    <w:name w:val="Heading 1 Char"/>
    <w:basedOn w:val="DefaultParagraphFont"/>
    <w:link w:val="Heading1"/>
    <w:uiPriority w:val="9"/>
    <w:rsid w:val="006E36AF"/>
    <w:rPr>
      <w:rFonts w:asciiTheme="majorHAnsi" w:eastAsiaTheme="majorEastAsia" w:hAnsiTheme="majorHAnsi" w:cstheme="majorBidi"/>
      <w:b/>
      <w:color w:val="1F3864" w:themeColor="accent1" w:themeShade="80"/>
      <w:sz w:val="28"/>
      <w:szCs w:val="32"/>
    </w:rPr>
  </w:style>
  <w:style w:type="paragraph" w:styleId="ListParagraph">
    <w:name w:val="List Paragraph"/>
    <w:basedOn w:val="Normal"/>
    <w:uiPriority w:val="34"/>
    <w:qFormat/>
    <w:rsid w:val="006E36AF"/>
    <w:pPr>
      <w:ind w:left="720"/>
      <w:contextualSpacing/>
    </w:pPr>
  </w:style>
  <w:style w:type="paragraph" w:styleId="CommentText">
    <w:name w:val="annotation text"/>
    <w:basedOn w:val="Normal"/>
    <w:link w:val="CommentTextChar"/>
    <w:uiPriority w:val="99"/>
    <w:semiHidden/>
    <w:unhideWhenUsed/>
    <w:rsid w:val="006E36AF"/>
    <w:pPr>
      <w:spacing w:line="240" w:lineRule="auto"/>
    </w:pPr>
    <w:rPr>
      <w:sz w:val="20"/>
      <w:szCs w:val="20"/>
    </w:rPr>
  </w:style>
  <w:style w:type="character" w:customStyle="1" w:styleId="CommentTextChar">
    <w:name w:val="Comment Text Char"/>
    <w:basedOn w:val="DefaultParagraphFont"/>
    <w:link w:val="CommentText"/>
    <w:uiPriority w:val="99"/>
    <w:semiHidden/>
    <w:rsid w:val="006E36AF"/>
    <w:rPr>
      <w:sz w:val="20"/>
      <w:szCs w:val="20"/>
    </w:rPr>
  </w:style>
  <w:style w:type="character" w:styleId="CommentReference">
    <w:name w:val="annotation reference"/>
    <w:basedOn w:val="DefaultParagraphFont"/>
    <w:uiPriority w:val="99"/>
    <w:semiHidden/>
    <w:unhideWhenUsed/>
    <w:rsid w:val="006E36AF"/>
    <w:rPr>
      <w:sz w:val="16"/>
      <w:szCs w:val="16"/>
    </w:rPr>
  </w:style>
  <w:style w:type="character" w:customStyle="1" w:styleId="normaltextrun">
    <w:name w:val="normaltextrun"/>
    <w:basedOn w:val="DefaultParagraphFont"/>
    <w:rsid w:val="00931DFF"/>
  </w:style>
  <w:style w:type="character" w:customStyle="1" w:styleId="eop">
    <w:name w:val="eop"/>
    <w:basedOn w:val="DefaultParagraphFont"/>
    <w:rsid w:val="00931DFF"/>
  </w:style>
  <w:style w:type="paragraph" w:styleId="CommentSubject">
    <w:name w:val="annotation subject"/>
    <w:basedOn w:val="CommentText"/>
    <w:next w:val="CommentText"/>
    <w:link w:val="CommentSubjectChar"/>
    <w:uiPriority w:val="99"/>
    <w:semiHidden/>
    <w:unhideWhenUsed/>
    <w:rsid w:val="00F77851"/>
    <w:rPr>
      <w:b/>
      <w:bCs/>
    </w:rPr>
  </w:style>
  <w:style w:type="character" w:customStyle="1" w:styleId="CommentSubjectChar">
    <w:name w:val="Comment Subject Char"/>
    <w:basedOn w:val="CommentTextChar"/>
    <w:link w:val="CommentSubject"/>
    <w:uiPriority w:val="99"/>
    <w:semiHidden/>
    <w:rsid w:val="00F77851"/>
    <w:rPr>
      <w:b/>
      <w:bCs/>
      <w:sz w:val="20"/>
      <w:szCs w:val="20"/>
    </w:rPr>
  </w:style>
  <w:style w:type="character" w:styleId="Strong">
    <w:name w:val="Strong"/>
    <w:basedOn w:val="DefaultParagraphFont"/>
    <w:uiPriority w:val="22"/>
    <w:qFormat/>
    <w:rsid w:val="00EE622B"/>
    <w:rPr>
      <w:b/>
      <w:bCs/>
    </w:rPr>
  </w:style>
  <w:style w:type="paragraph" w:styleId="Header">
    <w:name w:val="header"/>
    <w:basedOn w:val="Normal"/>
    <w:link w:val="HeaderChar"/>
    <w:uiPriority w:val="99"/>
    <w:unhideWhenUsed/>
    <w:rsid w:val="006160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608F"/>
  </w:style>
  <w:style w:type="paragraph" w:styleId="Footer">
    <w:name w:val="footer"/>
    <w:basedOn w:val="Normal"/>
    <w:link w:val="FooterChar"/>
    <w:uiPriority w:val="99"/>
    <w:unhideWhenUsed/>
    <w:rsid w:val="006160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08F"/>
  </w:style>
  <w:style w:type="character" w:styleId="Hyperlink">
    <w:name w:val="Hyperlink"/>
    <w:basedOn w:val="DefaultParagraphFont"/>
    <w:uiPriority w:val="99"/>
    <w:unhideWhenUsed/>
    <w:rsid w:val="00BE4D2F"/>
    <w:rPr>
      <w:color w:val="0563C1" w:themeColor="hyperlink"/>
      <w:u w:val="single"/>
    </w:rPr>
  </w:style>
  <w:style w:type="character" w:styleId="UnresolvedMention">
    <w:name w:val="Unresolved Mention"/>
    <w:basedOn w:val="DefaultParagraphFont"/>
    <w:uiPriority w:val="99"/>
    <w:semiHidden/>
    <w:unhideWhenUsed/>
    <w:rsid w:val="00BE4D2F"/>
    <w:rPr>
      <w:color w:val="605E5C"/>
      <w:shd w:val="clear" w:color="auto" w:fill="E1DFDD"/>
    </w:rPr>
  </w:style>
  <w:style w:type="paragraph" w:styleId="TOCHeading">
    <w:name w:val="TOC Heading"/>
    <w:basedOn w:val="Heading1"/>
    <w:next w:val="Normal"/>
    <w:uiPriority w:val="39"/>
    <w:unhideWhenUsed/>
    <w:qFormat/>
    <w:rsid w:val="0021431C"/>
    <w:pPr>
      <w:outlineLvl w:val="9"/>
    </w:pPr>
  </w:style>
  <w:style w:type="paragraph" w:styleId="TOC1">
    <w:name w:val="toc 1"/>
    <w:basedOn w:val="Normal"/>
    <w:next w:val="Normal"/>
    <w:autoRedefine/>
    <w:uiPriority w:val="39"/>
    <w:unhideWhenUsed/>
    <w:rsid w:val="0021431C"/>
    <w:pPr>
      <w:tabs>
        <w:tab w:val="right" w:leader="dot" w:pos="9350"/>
      </w:tabs>
      <w:spacing w:after="100"/>
    </w:pPr>
  </w:style>
  <w:style w:type="paragraph" w:styleId="TOC2">
    <w:name w:val="toc 2"/>
    <w:basedOn w:val="Normal"/>
    <w:next w:val="Normal"/>
    <w:autoRedefine/>
    <w:uiPriority w:val="39"/>
    <w:unhideWhenUsed/>
    <w:rsid w:val="0021431C"/>
    <w:pPr>
      <w:tabs>
        <w:tab w:val="right" w:leader="dot" w:pos="9350"/>
      </w:tabs>
      <w:spacing w:after="100"/>
      <w:ind w:left="220"/>
    </w:pPr>
  </w:style>
  <w:style w:type="paragraph" w:styleId="PlainText">
    <w:name w:val="Plain Text"/>
    <w:basedOn w:val="Normal"/>
    <w:next w:val="ListParagraph"/>
    <w:link w:val="PlainTextChar"/>
    <w:uiPriority w:val="99"/>
    <w:unhideWhenUsed/>
    <w:qFormat/>
    <w:rsid w:val="00E27CC9"/>
    <w:pPr>
      <w:spacing w:after="0" w:line="240" w:lineRule="auto"/>
      <w:ind w:right="-720"/>
      <w:contextualSpacing/>
    </w:pPr>
    <w:rPr>
      <w:rFonts w:eastAsia="Times New Roman" w:cs="Times New Roman"/>
      <w:szCs w:val="21"/>
    </w:rPr>
  </w:style>
  <w:style w:type="character" w:customStyle="1" w:styleId="PlainTextChar">
    <w:name w:val="Plain Text Char"/>
    <w:basedOn w:val="DefaultParagraphFont"/>
    <w:link w:val="PlainText"/>
    <w:uiPriority w:val="99"/>
    <w:rsid w:val="00E27CC9"/>
    <w:rPr>
      <w:rFonts w:eastAsia="Times New Roman"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450658">
      <w:bodyDiv w:val="1"/>
      <w:marLeft w:val="0"/>
      <w:marRight w:val="0"/>
      <w:marTop w:val="0"/>
      <w:marBottom w:val="0"/>
      <w:divBdr>
        <w:top w:val="none" w:sz="0" w:space="0" w:color="auto"/>
        <w:left w:val="none" w:sz="0" w:space="0" w:color="auto"/>
        <w:bottom w:val="none" w:sz="0" w:space="0" w:color="auto"/>
        <w:right w:val="none" w:sz="0" w:space="0" w:color="auto"/>
      </w:divBdr>
      <w:divsChild>
        <w:div w:id="717902559">
          <w:marLeft w:val="0"/>
          <w:marRight w:val="0"/>
          <w:marTop w:val="0"/>
          <w:marBottom w:val="0"/>
          <w:divBdr>
            <w:top w:val="none" w:sz="0" w:space="0" w:color="auto"/>
            <w:left w:val="none" w:sz="0" w:space="0" w:color="auto"/>
            <w:bottom w:val="none" w:sz="0" w:space="0" w:color="auto"/>
            <w:right w:val="none" w:sz="0" w:space="0" w:color="auto"/>
          </w:divBdr>
        </w:div>
        <w:div w:id="1129057405">
          <w:marLeft w:val="0"/>
          <w:marRight w:val="0"/>
          <w:marTop w:val="0"/>
          <w:marBottom w:val="0"/>
          <w:divBdr>
            <w:top w:val="none" w:sz="0" w:space="0" w:color="auto"/>
            <w:left w:val="none" w:sz="0" w:space="0" w:color="auto"/>
            <w:bottom w:val="none" w:sz="0" w:space="0" w:color="auto"/>
            <w:right w:val="none" w:sz="0" w:space="0" w:color="auto"/>
          </w:divBdr>
        </w:div>
        <w:div w:id="1207060265">
          <w:marLeft w:val="0"/>
          <w:marRight w:val="0"/>
          <w:marTop w:val="0"/>
          <w:marBottom w:val="0"/>
          <w:divBdr>
            <w:top w:val="none" w:sz="0" w:space="0" w:color="auto"/>
            <w:left w:val="none" w:sz="0" w:space="0" w:color="auto"/>
            <w:bottom w:val="none" w:sz="0" w:space="0" w:color="auto"/>
            <w:right w:val="none" w:sz="0" w:space="0" w:color="auto"/>
          </w:divBdr>
        </w:div>
      </w:divsChild>
    </w:div>
    <w:div w:id="456726433">
      <w:bodyDiv w:val="1"/>
      <w:marLeft w:val="0"/>
      <w:marRight w:val="0"/>
      <w:marTop w:val="0"/>
      <w:marBottom w:val="0"/>
      <w:divBdr>
        <w:top w:val="none" w:sz="0" w:space="0" w:color="auto"/>
        <w:left w:val="none" w:sz="0" w:space="0" w:color="auto"/>
        <w:bottom w:val="none" w:sz="0" w:space="0" w:color="auto"/>
        <w:right w:val="none" w:sz="0" w:space="0" w:color="auto"/>
      </w:divBdr>
    </w:div>
    <w:div w:id="896629404">
      <w:bodyDiv w:val="1"/>
      <w:marLeft w:val="0"/>
      <w:marRight w:val="0"/>
      <w:marTop w:val="0"/>
      <w:marBottom w:val="0"/>
      <w:divBdr>
        <w:top w:val="none" w:sz="0" w:space="0" w:color="auto"/>
        <w:left w:val="none" w:sz="0" w:space="0" w:color="auto"/>
        <w:bottom w:val="none" w:sz="0" w:space="0" w:color="auto"/>
        <w:right w:val="none" w:sz="0" w:space="0" w:color="auto"/>
      </w:divBdr>
    </w:div>
    <w:div w:id="1246299723">
      <w:bodyDiv w:val="1"/>
      <w:marLeft w:val="0"/>
      <w:marRight w:val="0"/>
      <w:marTop w:val="0"/>
      <w:marBottom w:val="0"/>
      <w:divBdr>
        <w:top w:val="none" w:sz="0" w:space="0" w:color="auto"/>
        <w:left w:val="none" w:sz="0" w:space="0" w:color="auto"/>
        <w:bottom w:val="none" w:sz="0" w:space="0" w:color="auto"/>
        <w:right w:val="none" w:sz="0" w:space="0" w:color="auto"/>
      </w:divBdr>
    </w:div>
    <w:div w:id="1414280209">
      <w:bodyDiv w:val="1"/>
      <w:marLeft w:val="0"/>
      <w:marRight w:val="0"/>
      <w:marTop w:val="0"/>
      <w:marBottom w:val="0"/>
      <w:divBdr>
        <w:top w:val="none" w:sz="0" w:space="0" w:color="auto"/>
        <w:left w:val="none" w:sz="0" w:space="0" w:color="auto"/>
        <w:bottom w:val="none" w:sz="0" w:space="0" w:color="auto"/>
        <w:right w:val="none" w:sz="0" w:space="0" w:color="auto"/>
      </w:divBdr>
      <w:divsChild>
        <w:div w:id="110638081">
          <w:marLeft w:val="0"/>
          <w:marRight w:val="0"/>
          <w:marTop w:val="0"/>
          <w:marBottom w:val="0"/>
          <w:divBdr>
            <w:top w:val="none" w:sz="0" w:space="0" w:color="auto"/>
            <w:left w:val="none" w:sz="0" w:space="0" w:color="auto"/>
            <w:bottom w:val="none" w:sz="0" w:space="0" w:color="auto"/>
            <w:right w:val="none" w:sz="0" w:space="0" w:color="auto"/>
          </w:divBdr>
        </w:div>
        <w:div w:id="621225478">
          <w:marLeft w:val="0"/>
          <w:marRight w:val="0"/>
          <w:marTop w:val="0"/>
          <w:marBottom w:val="0"/>
          <w:divBdr>
            <w:top w:val="none" w:sz="0" w:space="0" w:color="auto"/>
            <w:left w:val="none" w:sz="0" w:space="0" w:color="auto"/>
            <w:bottom w:val="none" w:sz="0" w:space="0" w:color="auto"/>
            <w:right w:val="none" w:sz="0" w:space="0" w:color="auto"/>
          </w:divBdr>
        </w:div>
      </w:divsChild>
    </w:div>
    <w:div w:id="174779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HSEMPIO@Austintexa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2021-01-01T00:00:00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76B77A4D70EEE4F91D131F212879179" ma:contentTypeVersion="8" ma:contentTypeDescription="Create a new document." ma:contentTypeScope="" ma:versionID="cf3b0da95372c2510f52bc267f1de50a">
  <xsd:schema xmlns:xsd="http://www.w3.org/2001/XMLSchema" xmlns:xs="http://www.w3.org/2001/XMLSchema" xmlns:p="http://schemas.microsoft.com/office/2006/metadata/properties" xmlns:ns2="d824d7ea-b1a0-4490-8956-f54ec5d2593a" xmlns:ns3="86a8d7a9-402f-47ec-87f6-ed1376ea286f" targetNamespace="http://schemas.microsoft.com/office/2006/metadata/properties" ma:root="true" ma:fieldsID="b1e1cd347fffaf16c59b836713722e77" ns2:_="" ns3:_="">
    <xsd:import namespace="d824d7ea-b1a0-4490-8956-f54ec5d2593a"/>
    <xsd:import namespace="86a8d7a9-402f-47ec-87f6-ed1376ea286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24d7ea-b1a0-4490-8956-f54ec5d259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a8d7a9-402f-47ec-87f6-ed1376ea286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2FF0F5C-788D-4095-B5B7-B0E68564F921}">
  <ds:schemaRefs>
    <ds:schemaRef ds:uri="http://schemas.microsoft.com/sharepoint/v3/contenttype/forms"/>
  </ds:schemaRefs>
</ds:datastoreItem>
</file>

<file path=customXml/itemProps3.xml><?xml version="1.0" encoding="utf-8"?>
<ds:datastoreItem xmlns:ds="http://schemas.openxmlformats.org/officeDocument/2006/customXml" ds:itemID="{2560549D-7DD0-4C98-827A-CC52A3B7B7EF}">
  <ds:schemaRefs>
    <ds:schemaRef ds:uri="http://schemas.openxmlformats.org/officeDocument/2006/bibliography"/>
  </ds:schemaRefs>
</ds:datastoreItem>
</file>

<file path=customXml/itemProps4.xml><?xml version="1.0" encoding="utf-8"?>
<ds:datastoreItem xmlns:ds="http://schemas.openxmlformats.org/officeDocument/2006/customXml" ds:itemID="{F87690B0-E32D-416C-87A6-DAC56E8AB4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24d7ea-b1a0-4490-8956-f54ec5d2593a"/>
    <ds:schemaRef ds:uri="86a8d7a9-402f-47ec-87f6-ed1376ea28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6AE13BC-76F7-4D23-BF1A-9FF6BAB8610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3547</Words>
  <Characters>20221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Suplemento del plan de distribución de vacunas contra el COVID-19 del área capital</vt:lpstr>
    </vt:vector>
  </TitlesOfParts>
  <Company/>
  <LinksUpToDate>false</LinksUpToDate>
  <CharactersWithSpaces>23721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Suplemento del plan de distribución de vacunas contra el COVID-19 del área capital</dc:title>
  <dc:subject>CREADO POR SALUD PÚBLICA DE AUSTIN/AUSTIN PUBLIC HEALTH</dc:subject>
  <dc:creator>Hernandez, Theo [APH]</dc:creator>
  <cp:keywords/>
  <dc:description/>
  <cp:lastModifiedBy>McCracken, Connie</cp:lastModifiedBy>
  <cp:revision>2</cp:revision>
  <dcterms:created xsi:type="dcterms:W3CDTF">2021-11-10T21:18:00Z</dcterms:created>
  <dcterms:modified xsi:type="dcterms:W3CDTF">2021-11-10T21:18:00Z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0x010100476B77A4D70EEE4F91D131F212879179</vt:lpwstr>
  </property>
</Properties>
</file>