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14A63" w14:textId="77777777" w:rsidR="00A77B3E" w:rsidRDefault="00A77B3E">
      <w:pPr>
        <w:spacing w:line="288" w:lineRule="auto"/>
        <w:ind w:left="288" w:right="432"/>
        <w:jc w:val="center"/>
        <w:rPr>
          <w:color w:val="000000"/>
          <w:sz w:val="22"/>
        </w:rPr>
      </w:pPr>
      <w:bookmarkStart w:id="0" w:name="Section1"/>
      <w:bookmarkEnd w:id="0"/>
    </w:p>
    <w:p w14:paraId="77EFAFFF" w14:textId="77777777" w:rsidR="00A77B3E" w:rsidRDefault="00BF4EF6">
      <w:pPr>
        <w:spacing w:line="288" w:lineRule="auto"/>
        <w:jc w:val="center"/>
        <w:outlineLvl w:val="0"/>
        <w:rPr>
          <w:color w:val="000000"/>
          <w:sz w:val="22"/>
        </w:rPr>
      </w:pPr>
      <w:r>
        <w:rPr>
          <w:b/>
          <w:color w:val="000000"/>
          <w:sz w:val="22"/>
        </w:rPr>
        <w:t>UNMETERED GAS LIGHT SERVICE RATE</w:t>
      </w:r>
    </w:p>
    <w:p w14:paraId="413FC964" w14:textId="77777777" w:rsidR="00A77B3E" w:rsidRDefault="00A77B3E">
      <w:pPr>
        <w:spacing w:line="288" w:lineRule="auto"/>
        <w:jc w:val="both"/>
        <w:rPr>
          <w:color w:val="000000"/>
          <w:sz w:val="22"/>
        </w:rPr>
      </w:pPr>
    </w:p>
    <w:p w14:paraId="471DCFA1" w14:textId="77777777" w:rsidR="00A77B3E" w:rsidRDefault="00BF4EF6">
      <w:pPr>
        <w:spacing w:line="288" w:lineRule="auto"/>
        <w:jc w:val="both"/>
        <w:rPr>
          <w:color w:val="000000"/>
          <w:sz w:val="22"/>
        </w:rPr>
      </w:pPr>
      <w:r>
        <w:rPr>
          <w:b/>
          <w:color w:val="000000"/>
          <w:sz w:val="22"/>
          <w:u w:val="single"/>
        </w:rPr>
        <w:t>APPLICABILITY</w:t>
      </w:r>
    </w:p>
    <w:p w14:paraId="5DB32635" w14:textId="77777777" w:rsidR="00A77B3E" w:rsidRDefault="00A77B3E">
      <w:pPr>
        <w:spacing w:line="288" w:lineRule="auto"/>
        <w:jc w:val="both"/>
        <w:rPr>
          <w:color w:val="000000"/>
          <w:sz w:val="22"/>
        </w:rPr>
      </w:pPr>
    </w:p>
    <w:p w14:paraId="3CCDAD79" w14:textId="77777777" w:rsidR="00A77B3E" w:rsidRDefault="00BF4EF6">
      <w:pPr>
        <w:spacing w:line="288" w:lineRule="auto"/>
        <w:jc w:val="both"/>
        <w:rPr>
          <w:color w:val="000000"/>
          <w:sz w:val="22"/>
        </w:rPr>
      </w:pPr>
      <w:r>
        <w:rPr>
          <w:color w:val="000000"/>
          <w:sz w:val="22"/>
        </w:rPr>
        <w:t xml:space="preserve">Applicable to any Customer on Texas Gas Service Company, a Division of ONE Gas, Inc.’s system requiring natural gas service for gas lighting only, without the use of metering device.  Gas service is </w:t>
      </w:r>
      <w:r>
        <w:rPr>
          <w:color w:val="000000"/>
          <w:sz w:val="22"/>
        </w:rPr>
        <w:t>only available to Customers utilizing standard gas lighting equipment manufactured with an orifice burner assembly or equivalent that is intended for lighting of sidewalks and other walkways.  The Company, in its sole discretion, shall determine if Customer’s lighting equipment qualifies for this tariff and shall contract with Customer for the appropriate monthly charge based upon Customer’s complete installation of gas lighting equipment. Gas service under this rate schedule is available only with the Comp</w:t>
      </w:r>
      <w:r>
        <w:rPr>
          <w:color w:val="000000"/>
          <w:sz w:val="22"/>
        </w:rPr>
        <w:t>any as the sole supplier of gas for Customer and is not available for resale to others or for standby or supplemental service.</w:t>
      </w:r>
    </w:p>
    <w:p w14:paraId="3984DC37" w14:textId="77777777" w:rsidR="00A77B3E" w:rsidRDefault="00A77B3E">
      <w:pPr>
        <w:spacing w:line="288" w:lineRule="auto"/>
        <w:jc w:val="both"/>
        <w:rPr>
          <w:color w:val="000000"/>
          <w:sz w:val="22"/>
        </w:rPr>
      </w:pPr>
    </w:p>
    <w:p w14:paraId="3900FAFB" w14:textId="77777777" w:rsidR="00A77B3E" w:rsidRDefault="00BF4EF6">
      <w:pPr>
        <w:spacing w:line="288" w:lineRule="auto"/>
        <w:jc w:val="both"/>
        <w:rPr>
          <w:color w:val="000000"/>
          <w:sz w:val="22"/>
        </w:rPr>
      </w:pPr>
      <w:r>
        <w:rPr>
          <w:b/>
          <w:color w:val="000000"/>
          <w:sz w:val="22"/>
          <w:u w:val="single"/>
        </w:rPr>
        <w:t>TERRITORY</w:t>
      </w:r>
    </w:p>
    <w:p w14:paraId="75A93038" w14:textId="77777777" w:rsidR="00A77B3E" w:rsidRDefault="00A77B3E">
      <w:pPr>
        <w:spacing w:line="288" w:lineRule="auto"/>
        <w:jc w:val="both"/>
        <w:rPr>
          <w:color w:val="000000"/>
          <w:sz w:val="22"/>
        </w:rPr>
      </w:pPr>
    </w:p>
    <w:p w14:paraId="76ABC7A8" w14:textId="77777777" w:rsidR="00A77B3E" w:rsidRDefault="00BF4EF6">
      <w:pPr>
        <w:spacing w:line="288" w:lineRule="auto"/>
        <w:jc w:val="both"/>
        <w:rPr>
          <w:color w:val="000000"/>
          <w:sz w:val="22"/>
        </w:rPr>
      </w:pPr>
      <w:r>
        <w:rPr>
          <w:sz w:val="22"/>
        </w:rPr>
        <w:t xml:space="preserve">All incorporated areas served by the </w:t>
      </w:r>
      <w:r>
        <w:rPr>
          <w:color w:val="000000"/>
          <w:sz w:val="22"/>
        </w:rPr>
        <w:t>Company, as listed in the Company's Rules of Service (Rate Schedule Number QSR-TGS), Section 1.1</w:t>
      </w:r>
      <w:r>
        <w:rPr>
          <w:sz w:val="22"/>
        </w:rPr>
        <w:t>.</w:t>
      </w:r>
    </w:p>
    <w:p w14:paraId="371766DA" w14:textId="77777777" w:rsidR="00A77B3E" w:rsidRDefault="00A77B3E">
      <w:pPr>
        <w:spacing w:line="288" w:lineRule="auto"/>
        <w:jc w:val="both"/>
        <w:rPr>
          <w:color w:val="000000"/>
          <w:sz w:val="22"/>
        </w:rPr>
      </w:pPr>
    </w:p>
    <w:p w14:paraId="17D1858D" w14:textId="77777777" w:rsidR="00A77B3E" w:rsidRDefault="00BF4EF6">
      <w:pPr>
        <w:spacing w:line="288" w:lineRule="auto"/>
        <w:jc w:val="both"/>
        <w:rPr>
          <w:color w:val="000000"/>
          <w:sz w:val="22"/>
        </w:rPr>
      </w:pPr>
      <w:r>
        <w:rPr>
          <w:b/>
          <w:color w:val="000000"/>
          <w:sz w:val="22"/>
          <w:u w:val="single"/>
        </w:rPr>
        <w:t>COST OF SERVICE RATE</w:t>
      </w:r>
    </w:p>
    <w:p w14:paraId="5BFD2938" w14:textId="77777777" w:rsidR="00A77B3E" w:rsidRDefault="00A77B3E">
      <w:pPr>
        <w:spacing w:line="288" w:lineRule="auto"/>
        <w:jc w:val="both"/>
        <w:rPr>
          <w:color w:val="000000"/>
          <w:sz w:val="22"/>
        </w:rPr>
      </w:pPr>
    </w:p>
    <w:p w14:paraId="1A232FA0" w14:textId="77777777" w:rsidR="00A77B3E" w:rsidRDefault="00BF4EF6">
      <w:pPr>
        <w:spacing w:line="288" w:lineRule="auto"/>
        <w:jc w:val="both"/>
        <w:rPr>
          <w:color w:val="000000"/>
          <w:sz w:val="22"/>
        </w:rPr>
      </w:pPr>
      <w:r>
        <w:rPr>
          <w:color w:val="000000"/>
          <w:sz w:val="22"/>
        </w:rPr>
        <w:t>The total hourly rated consumption of all gas lighting equipment included, expressed in Ccf at the location, shall be multiplied by 730 for gas lighting equipment that runs continuously or 365 for gas lighting equipment with a light sensor, to determine the average monthly consumption of the service.  The result, rounded to the next highest Ccf, shall then be billed the rates provided in this rate schedule:</w:t>
      </w:r>
    </w:p>
    <w:p w14:paraId="52E6BE47" w14:textId="77777777" w:rsidR="00A77B3E" w:rsidRDefault="00A77B3E">
      <w:pPr>
        <w:spacing w:line="288" w:lineRule="auto"/>
        <w:jc w:val="both"/>
        <w:rPr>
          <w:color w:val="000000"/>
          <w:sz w:val="22"/>
        </w:rPr>
      </w:pPr>
    </w:p>
    <w:p w14:paraId="791E89A0" w14:textId="15E8A8C8" w:rsidR="00A77B3E" w:rsidRDefault="00BF4EF6">
      <w:pPr>
        <w:spacing w:line="288" w:lineRule="auto"/>
        <w:ind w:left="720"/>
        <w:jc w:val="both"/>
        <w:rPr>
          <w:color w:val="000000"/>
          <w:sz w:val="22"/>
        </w:rPr>
      </w:pPr>
      <w:r>
        <w:rPr>
          <w:color w:val="000000"/>
          <w:sz w:val="22"/>
        </w:rPr>
        <w:t>Residential</w:t>
      </w:r>
      <w:r>
        <w:rPr>
          <w:color w:val="000000"/>
          <w:sz w:val="22"/>
        </w:rPr>
        <w:tab/>
      </w:r>
      <w:r>
        <w:rPr>
          <w:color w:val="000000"/>
          <w:sz w:val="22"/>
        </w:rPr>
        <w:tab/>
        <w:t>$0.67553</w:t>
      </w:r>
      <w:r>
        <w:rPr>
          <w:color w:val="000000"/>
          <w:sz w:val="22"/>
        </w:rPr>
        <w:t xml:space="preserve"> per Ccf metered @ 14.65 psi*</w:t>
      </w:r>
    </w:p>
    <w:p w14:paraId="2392A52E" w14:textId="199FCBAA" w:rsidR="00A77B3E" w:rsidRDefault="00BF4EF6">
      <w:pPr>
        <w:spacing w:line="288" w:lineRule="auto"/>
        <w:ind w:left="720"/>
        <w:jc w:val="both"/>
        <w:rPr>
          <w:color w:val="000000"/>
          <w:sz w:val="22"/>
        </w:rPr>
      </w:pPr>
      <w:r>
        <w:rPr>
          <w:color w:val="000000"/>
          <w:sz w:val="22"/>
        </w:rPr>
        <w:t>Commercial</w:t>
      </w:r>
      <w:r>
        <w:rPr>
          <w:color w:val="000000"/>
          <w:sz w:val="22"/>
        </w:rPr>
        <w:tab/>
      </w:r>
      <w:r>
        <w:rPr>
          <w:color w:val="000000"/>
          <w:sz w:val="22"/>
        </w:rPr>
        <w:tab/>
        <w:t>$0.4358</w:t>
      </w:r>
      <w:r>
        <w:rPr>
          <w:color w:val="000000"/>
          <w:sz w:val="22"/>
        </w:rPr>
        <w:t>9 per Ccf metered @ 14.65 psi*</w:t>
      </w:r>
    </w:p>
    <w:p w14:paraId="4BD79879" w14:textId="36A6AFEF" w:rsidR="00A77B3E" w:rsidRDefault="00BF4EF6">
      <w:pPr>
        <w:spacing w:line="288" w:lineRule="auto"/>
        <w:ind w:left="720"/>
        <w:jc w:val="both"/>
        <w:rPr>
          <w:color w:val="000000"/>
          <w:sz w:val="22"/>
        </w:rPr>
      </w:pPr>
      <w:r>
        <w:rPr>
          <w:color w:val="000000"/>
          <w:sz w:val="22"/>
        </w:rPr>
        <w:t>Industrial</w:t>
      </w:r>
      <w:r>
        <w:rPr>
          <w:color w:val="000000"/>
          <w:sz w:val="22"/>
        </w:rPr>
        <w:tab/>
      </w:r>
      <w:r>
        <w:rPr>
          <w:color w:val="000000"/>
          <w:sz w:val="22"/>
        </w:rPr>
        <w:tab/>
        <w:t>$0.11849</w:t>
      </w:r>
      <w:r>
        <w:rPr>
          <w:color w:val="000000"/>
          <w:sz w:val="22"/>
        </w:rPr>
        <w:t xml:space="preserve"> per Ccf metered @ 14.65 psi*</w:t>
      </w:r>
    </w:p>
    <w:p w14:paraId="29012DBB" w14:textId="33B83652" w:rsidR="00A77B3E" w:rsidRDefault="00BF4EF6">
      <w:pPr>
        <w:spacing w:line="288" w:lineRule="auto"/>
        <w:ind w:left="720"/>
        <w:jc w:val="both"/>
        <w:rPr>
          <w:color w:val="000000"/>
          <w:sz w:val="22"/>
        </w:rPr>
      </w:pPr>
      <w:r>
        <w:rPr>
          <w:color w:val="000000"/>
          <w:sz w:val="22"/>
        </w:rPr>
        <w:t>Public Authority</w:t>
      </w:r>
      <w:r>
        <w:rPr>
          <w:color w:val="000000"/>
          <w:sz w:val="22"/>
        </w:rPr>
        <w:tab/>
        <w:t>$0.1374</w:t>
      </w:r>
      <w:r>
        <w:rPr>
          <w:color w:val="000000"/>
          <w:sz w:val="22"/>
        </w:rPr>
        <w:t>5 per Ccf metered @ 14.65 psi*</w:t>
      </w:r>
    </w:p>
    <w:p w14:paraId="2D441542" w14:textId="77777777" w:rsidR="00A77B3E" w:rsidRDefault="00A77B3E">
      <w:pPr>
        <w:spacing w:line="288" w:lineRule="auto"/>
        <w:jc w:val="both"/>
        <w:rPr>
          <w:color w:val="000000"/>
          <w:sz w:val="22"/>
        </w:rPr>
      </w:pPr>
    </w:p>
    <w:p w14:paraId="27F052E7" w14:textId="77777777" w:rsidR="00A77B3E" w:rsidRDefault="00BF4EF6">
      <w:pPr>
        <w:spacing w:line="288" w:lineRule="auto"/>
        <w:jc w:val="both"/>
        <w:rPr>
          <w:color w:val="000000"/>
          <w:sz w:val="22"/>
        </w:rPr>
      </w:pPr>
      <w:r>
        <w:rPr>
          <w:sz w:val="22"/>
        </w:rPr>
        <w:t>*All customers will be billed at a Common Billing Pressure of 14.65 psi, but not all customers receive service at the pressure base of 14.65 psi. To determine the pressure base and conversion factors for your location, refer to the Company's Rules of Service (Rate Schedule Number QSR-TGS), Section 13.1.</w:t>
      </w:r>
    </w:p>
    <w:p w14:paraId="49A93E29" w14:textId="77777777" w:rsidR="00A77B3E" w:rsidRDefault="00A77B3E">
      <w:pPr>
        <w:spacing w:line="288" w:lineRule="auto"/>
        <w:jc w:val="both"/>
        <w:rPr>
          <w:sz w:val="22"/>
        </w:rPr>
      </w:pPr>
    </w:p>
    <w:p w14:paraId="7CC2875A" w14:textId="77777777" w:rsidR="00A77B3E" w:rsidRDefault="00BF4EF6">
      <w:pPr>
        <w:tabs>
          <w:tab w:val="left" w:pos="5840"/>
        </w:tabs>
        <w:spacing w:line="288" w:lineRule="auto"/>
        <w:jc w:val="both"/>
        <w:rPr>
          <w:color w:val="000000"/>
          <w:sz w:val="22"/>
        </w:rPr>
      </w:pPr>
      <w:r>
        <w:rPr>
          <w:b/>
          <w:color w:val="000000"/>
          <w:sz w:val="22"/>
          <w:u w:val="single"/>
        </w:rPr>
        <w:t>OTHER ADJUSTMENTS</w:t>
      </w:r>
    </w:p>
    <w:p w14:paraId="4DCF8D71" w14:textId="77777777" w:rsidR="00A77B3E" w:rsidRDefault="00A77B3E">
      <w:pPr>
        <w:tabs>
          <w:tab w:val="left" w:pos="5840"/>
        </w:tabs>
        <w:spacing w:line="288" w:lineRule="auto"/>
        <w:jc w:val="both"/>
        <w:rPr>
          <w:color w:val="000000"/>
          <w:sz w:val="22"/>
        </w:rPr>
      </w:pPr>
    </w:p>
    <w:p w14:paraId="2E720ABC" w14:textId="77777777" w:rsidR="00A77B3E" w:rsidRDefault="00BF4EF6">
      <w:pPr>
        <w:tabs>
          <w:tab w:val="left" w:pos="5840"/>
        </w:tabs>
        <w:spacing w:line="288" w:lineRule="auto"/>
        <w:jc w:val="both"/>
        <w:rPr>
          <w:color w:val="000000"/>
          <w:sz w:val="22"/>
        </w:rPr>
      </w:pPr>
      <w:r>
        <w:rPr>
          <w:color w:val="000000"/>
          <w:sz w:val="22"/>
          <w:u w:val="single"/>
        </w:rPr>
        <w:t>Cost of Gas Component</w:t>
      </w:r>
      <w:r>
        <w:rPr>
          <w:color w:val="000000"/>
          <w:sz w:val="22"/>
        </w:rPr>
        <w:t xml:space="preserve">:  The basic </w:t>
      </w:r>
      <w:r>
        <w:rPr>
          <w:color w:val="000000"/>
          <w:sz w:val="22"/>
        </w:rPr>
        <w:t>rates for cost of service set forth above shall be increased by the amount of the Cost of Gas Component for the billing month computed in accordance with the provisions of Rate Schedule 1-INC.</w:t>
      </w:r>
    </w:p>
    <w:p w14:paraId="68128A3D" w14:textId="77777777" w:rsidR="00A77B3E" w:rsidRDefault="00A77B3E">
      <w:pPr>
        <w:tabs>
          <w:tab w:val="left" w:pos="5840"/>
        </w:tabs>
        <w:spacing w:line="288" w:lineRule="auto"/>
        <w:jc w:val="both"/>
        <w:rPr>
          <w:color w:val="000000"/>
          <w:sz w:val="22"/>
        </w:rPr>
      </w:pPr>
    </w:p>
    <w:p w14:paraId="2A4E2BFD" w14:textId="77777777" w:rsidR="00A77B3E" w:rsidRDefault="00BF4EF6">
      <w:pPr>
        <w:tabs>
          <w:tab w:val="left" w:pos="5840"/>
        </w:tabs>
        <w:spacing w:line="288" w:lineRule="auto"/>
        <w:jc w:val="both"/>
        <w:rPr>
          <w:color w:val="000000"/>
          <w:sz w:val="22"/>
        </w:rPr>
      </w:pPr>
      <w:r>
        <w:rPr>
          <w:color w:val="000000"/>
          <w:sz w:val="22"/>
          <w:u w:val="single"/>
        </w:rPr>
        <w:t>Taxes</w:t>
      </w:r>
      <w:r>
        <w:rPr>
          <w:color w:val="000000"/>
          <w:sz w:val="22"/>
        </w:rPr>
        <w:t>:  Plus applicable taxes and fees (including franchise fees) related to above.</w:t>
      </w:r>
    </w:p>
    <w:p w14:paraId="13FA5CFC" w14:textId="77777777" w:rsidR="00A77B3E" w:rsidRDefault="00A77B3E">
      <w:pPr>
        <w:pageBreakBefore/>
        <w:tabs>
          <w:tab w:val="left" w:pos="5840"/>
        </w:tabs>
        <w:spacing w:line="288" w:lineRule="auto"/>
        <w:jc w:val="both"/>
        <w:rPr>
          <w:sz w:val="22"/>
        </w:rPr>
      </w:pPr>
    </w:p>
    <w:p w14:paraId="06CDDB62" w14:textId="77777777" w:rsidR="00A77B3E" w:rsidRDefault="00BF4EF6">
      <w:pPr>
        <w:tabs>
          <w:tab w:val="left" w:pos="5840"/>
        </w:tabs>
        <w:spacing w:line="288" w:lineRule="auto"/>
        <w:jc w:val="center"/>
        <w:rPr>
          <w:color w:val="000000"/>
          <w:sz w:val="22"/>
        </w:rPr>
      </w:pPr>
      <w:r>
        <w:rPr>
          <w:b/>
          <w:color w:val="000000"/>
          <w:sz w:val="22"/>
        </w:rPr>
        <w:t>UNMETERED GAS LIGHT SERVICE RATE (Continued)</w:t>
      </w:r>
    </w:p>
    <w:p w14:paraId="2265FC0B" w14:textId="77777777" w:rsidR="00A77B3E" w:rsidRDefault="00A77B3E">
      <w:pPr>
        <w:tabs>
          <w:tab w:val="left" w:pos="5840"/>
        </w:tabs>
        <w:spacing w:line="288" w:lineRule="auto"/>
        <w:rPr>
          <w:color w:val="000000"/>
          <w:sz w:val="22"/>
        </w:rPr>
      </w:pPr>
    </w:p>
    <w:p w14:paraId="3D8309BD" w14:textId="77777777" w:rsidR="00A77B3E" w:rsidRDefault="00BF4EF6">
      <w:pPr>
        <w:tabs>
          <w:tab w:val="left" w:pos="5840"/>
        </w:tabs>
        <w:spacing w:line="288" w:lineRule="auto"/>
        <w:rPr>
          <w:color w:val="000000"/>
          <w:sz w:val="22"/>
        </w:rPr>
      </w:pPr>
      <w:r>
        <w:rPr>
          <w:b/>
          <w:color w:val="000000"/>
          <w:sz w:val="22"/>
          <w:u w:val="single"/>
        </w:rPr>
        <w:t>CONDITIONS</w:t>
      </w:r>
    </w:p>
    <w:p w14:paraId="67196608" w14:textId="77777777" w:rsidR="00A77B3E" w:rsidRDefault="00A77B3E">
      <w:pPr>
        <w:tabs>
          <w:tab w:val="left" w:pos="5840"/>
        </w:tabs>
        <w:spacing w:line="288" w:lineRule="auto"/>
        <w:jc w:val="both"/>
        <w:rPr>
          <w:color w:val="000000"/>
          <w:sz w:val="22"/>
        </w:rPr>
      </w:pPr>
    </w:p>
    <w:p w14:paraId="546C40F5" w14:textId="77777777" w:rsidR="00A77B3E" w:rsidRDefault="00BF4EF6">
      <w:pPr>
        <w:tabs>
          <w:tab w:val="left" w:pos="5840"/>
        </w:tabs>
        <w:spacing w:line="288" w:lineRule="auto"/>
        <w:jc w:val="both"/>
        <w:rPr>
          <w:color w:val="000000"/>
          <w:sz w:val="22"/>
        </w:rPr>
      </w:pPr>
      <w:r>
        <w:rPr>
          <w:color w:val="000000"/>
          <w:sz w:val="22"/>
        </w:rPr>
        <w:t>The Customer shall ensure that the installation of lighting equipment conforms to industry safety standards. The Company reserves the right to review Customer’s installation of lighting equipment from time to time to determine if it conforms to terms and conditions as set forth in this tariff and the executed service agreement with the Customer.  Customer shall notify Company at 1-800-700-2443 within 30 days of any change in number of gas lights or other material changes made to the gas lighting installatio</w:t>
      </w:r>
      <w:r>
        <w:rPr>
          <w:color w:val="000000"/>
          <w:sz w:val="22"/>
        </w:rPr>
        <w:t>n.</w:t>
      </w:r>
    </w:p>
    <w:p w14:paraId="5804E11A" w14:textId="77777777" w:rsidR="00A77B3E" w:rsidRDefault="00A77B3E">
      <w:pPr>
        <w:tabs>
          <w:tab w:val="left" w:pos="5840"/>
        </w:tabs>
        <w:spacing w:line="288" w:lineRule="auto"/>
        <w:jc w:val="both"/>
        <w:rPr>
          <w:color w:val="000000"/>
          <w:sz w:val="22"/>
        </w:rPr>
      </w:pPr>
    </w:p>
    <w:p w14:paraId="4E3C8414" w14:textId="77777777" w:rsidR="00A77B3E" w:rsidRDefault="00BF4EF6">
      <w:pPr>
        <w:tabs>
          <w:tab w:val="left" w:pos="5840"/>
        </w:tabs>
        <w:spacing w:line="288" w:lineRule="auto"/>
        <w:jc w:val="both"/>
        <w:rPr>
          <w:color w:val="000000"/>
          <w:sz w:val="22"/>
        </w:rPr>
      </w:pPr>
      <w:r>
        <w:rPr>
          <w:color w:val="000000"/>
          <w:sz w:val="22"/>
        </w:rPr>
        <w:t>Subject to all applicable laws and orders, and the Company’s rules and regulations on file with the regulatory authority.</w:t>
      </w:r>
    </w:p>
    <w:sectPr w:rsidR="00A77B3E">
      <w:headerReference w:type="default" r:id="rId7"/>
      <w:footerReference w:type="default" r:id="rId8"/>
      <w:type w:val="continuous"/>
      <w:pgSz w:w="12240" w:h="15840"/>
      <w:pgMar w:top="1440" w:right="1080" w:bottom="315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287DE" w14:textId="77777777" w:rsidR="00BF4EF6" w:rsidRDefault="00BF4EF6">
      <w:r>
        <w:separator/>
      </w:r>
    </w:p>
  </w:endnote>
  <w:endnote w:type="continuationSeparator" w:id="0">
    <w:p w14:paraId="0FF327AB" w14:textId="77777777" w:rsidR="00BF4EF6" w:rsidRDefault="00BF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5AB37" w14:textId="77777777" w:rsidR="00CC1567" w:rsidRDefault="00BF4EF6">
    <w:pPr>
      <w:spacing w:line="288" w:lineRule="auto"/>
      <w:ind w:right="432"/>
      <w:outlineLvl w:val="0"/>
      <w:rPr>
        <w:color w:val="000000"/>
        <w:sz w:val="20"/>
      </w:rPr>
    </w:pPr>
    <w:r>
      <w:rPr>
        <w:color w:val="000000"/>
        <w:sz w:val="20"/>
        <w:u w:val="single"/>
      </w:rPr>
      <w:t>Supersedes Rate Schedule Dated</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u w:val="single"/>
      </w:rPr>
      <w:t>Meters Read On and After</w:t>
    </w:r>
  </w:p>
  <w:p w14:paraId="69464BB9" w14:textId="77777777" w:rsidR="00CC1567" w:rsidRDefault="00BF4EF6">
    <w:pPr>
      <w:spacing w:line="288" w:lineRule="auto"/>
      <w:ind w:right="432"/>
      <w:jc w:val="both"/>
      <w:outlineLvl w:val="0"/>
      <w:rPr>
        <w:color w:val="000000"/>
        <w:sz w:val="20"/>
        <w:u w:val="single"/>
      </w:rPr>
    </w:pPr>
    <w:r>
      <w:rPr>
        <w:color w:val="000000"/>
        <w:sz w:val="20"/>
        <w:u w:val="single"/>
      </w:rPr>
      <w:t>November 27, 2024</w:t>
    </w:r>
    <w:r>
      <w:rPr>
        <w:sz w:val="20"/>
      </w:rPr>
      <w:t xml:space="preserve"> (Central-Gulf)</w:t>
    </w:r>
    <w:r>
      <w:rPr>
        <w:sz w:val="20"/>
      </w:rPr>
      <w:tab/>
    </w:r>
    <w:r>
      <w:rPr>
        <w:sz w:val="20"/>
      </w:rPr>
      <w:tab/>
    </w:r>
    <w:r>
      <w:rPr>
        <w:sz w:val="20"/>
      </w:rPr>
      <w:tab/>
    </w:r>
    <w:r>
      <w:rPr>
        <w:sz w:val="20"/>
      </w:rPr>
      <w:tab/>
    </w:r>
    <w:r>
      <w:rPr>
        <w:sz w:val="20"/>
      </w:rPr>
      <w:tab/>
    </w:r>
    <w:r>
      <w:rPr>
        <w:sz w:val="20"/>
      </w:rPr>
      <w:tab/>
      <w:t>TBD</w:t>
    </w:r>
  </w:p>
  <w:p w14:paraId="48D3E407" w14:textId="77777777" w:rsidR="00CC1567" w:rsidRDefault="00BF4EF6">
    <w:pPr>
      <w:tabs>
        <w:tab w:val="left" w:pos="720"/>
        <w:tab w:val="left" w:pos="1860"/>
        <w:tab w:val="left" w:pos="5760"/>
      </w:tabs>
      <w:spacing w:line="288" w:lineRule="auto"/>
      <w:ind w:right="432"/>
      <w:outlineLvl w:val="0"/>
      <w:rPr>
        <w:color w:val="000000"/>
        <w:sz w:val="20"/>
        <w:u w:val="single"/>
      </w:rPr>
    </w:pPr>
    <w:r>
      <w:rPr>
        <w:color w:val="000000"/>
        <w:sz w:val="20"/>
        <w:u w:val="single"/>
      </w:rPr>
      <w:t>January 27, 2023</w:t>
    </w:r>
    <w:r>
      <w:rPr>
        <w:color w:val="000000"/>
        <w:sz w:val="20"/>
      </w:rPr>
      <w:t xml:space="preserve"> (All West-North Areas Except</w:t>
    </w:r>
  </w:p>
  <w:p w14:paraId="03DFC8FF" w14:textId="77777777" w:rsidR="00CC1567" w:rsidRDefault="00BF4EF6">
    <w:pPr>
      <w:tabs>
        <w:tab w:val="left" w:pos="720"/>
        <w:tab w:val="left" w:pos="1860"/>
        <w:tab w:val="left" w:pos="5760"/>
      </w:tabs>
      <w:spacing w:line="288" w:lineRule="auto"/>
      <w:outlineLvl w:val="0"/>
      <w:rPr>
        <w:color w:val="000000"/>
        <w:sz w:val="20"/>
      </w:rPr>
    </w:pPr>
    <w:r>
      <w:rPr>
        <w:color w:val="000000"/>
        <w:sz w:val="20"/>
      </w:rPr>
      <w:t>Incorporated Aledo, Breckenridge, Bryson, Graford,</w:t>
    </w:r>
  </w:p>
  <w:p w14:paraId="3B2E9A0E" w14:textId="77777777" w:rsidR="00CC1567" w:rsidRDefault="00BF4EF6">
    <w:pPr>
      <w:tabs>
        <w:tab w:val="left" w:pos="720"/>
        <w:tab w:val="left" w:pos="1860"/>
      </w:tabs>
      <w:spacing w:line="288" w:lineRule="auto"/>
      <w:outlineLvl w:val="0"/>
      <w:rPr>
        <w:color w:val="000000"/>
        <w:sz w:val="20"/>
      </w:rPr>
    </w:pPr>
    <w:r>
      <w:rPr>
        <w:color w:val="000000"/>
        <w:sz w:val="20"/>
      </w:rPr>
      <w:t>Graham, Hudson Oaks, Jacksboro, Millsap, Mineral</w:t>
    </w:r>
  </w:p>
  <w:p w14:paraId="05D8E681" w14:textId="77777777" w:rsidR="00CC1567" w:rsidRDefault="00BF4EF6">
    <w:pPr>
      <w:tabs>
        <w:tab w:val="left" w:pos="720"/>
        <w:tab w:val="left" w:pos="1860"/>
      </w:tabs>
      <w:spacing w:line="288" w:lineRule="auto"/>
      <w:outlineLvl w:val="0"/>
      <w:rPr>
        <w:color w:val="000000"/>
        <w:sz w:val="20"/>
      </w:rPr>
    </w:pPr>
    <w:r>
      <w:rPr>
        <w:color w:val="000000"/>
        <w:sz w:val="20"/>
      </w:rPr>
      <w:t>Wells, Weatherford and Willow Park)</w:t>
    </w:r>
  </w:p>
  <w:p w14:paraId="6D0F870D" w14:textId="77777777" w:rsidR="00CC1567" w:rsidRDefault="00BF4EF6">
    <w:pPr>
      <w:tabs>
        <w:tab w:val="left" w:pos="720"/>
        <w:tab w:val="left" w:pos="1860"/>
      </w:tabs>
      <w:spacing w:line="288" w:lineRule="auto"/>
      <w:outlineLvl w:val="0"/>
      <w:rPr>
        <w:color w:val="000000"/>
        <w:sz w:val="20"/>
      </w:rPr>
    </w:pPr>
    <w:r>
      <w:rPr>
        <w:color w:val="000000"/>
        <w:sz w:val="20"/>
        <w:u w:val="single"/>
      </w:rPr>
      <w:t>February 27, 2023</w:t>
    </w:r>
    <w:r>
      <w:rPr>
        <w:color w:val="000000"/>
        <w:sz w:val="20"/>
      </w:rPr>
      <w:t xml:space="preserve"> (Incorporated Aledo, Breckenridge,</w:t>
    </w:r>
  </w:p>
  <w:p w14:paraId="07BCF3AA" w14:textId="77777777" w:rsidR="00CC1567" w:rsidRDefault="00BF4EF6">
    <w:pPr>
      <w:tabs>
        <w:tab w:val="left" w:pos="720"/>
        <w:tab w:val="left" w:pos="1860"/>
      </w:tabs>
      <w:spacing w:line="288" w:lineRule="auto"/>
      <w:outlineLvl w:val="0"/>
      <w:rPr>
        <w:color w:val="000000"/>
        <w:sz w:val="20"/>
      </w:rPr>
    </w:pPr>
    <w:r>
      <w:rPr>
        <w:color w:val="000000"/>
        <w:sz w:val="20"/>
      </w:rPr>
      <w:t xml:space="preserve">Bryson, Graford, Graham, Hudson Oaks, Jacksboro, </w:t>
    </w:r>
  </w:p>
  <w:p w14:paraId="76DC70A2" w14:textId="77777777" w:rsidR="00CC1567" w:rsidRDefault="00BF4EF6">
    <w:pPr>
      <w:tabs>
        <w:tab w:val="left" w:pos="720"/>
        <w:tab w:val="left" w:pos="1860"/>
      </w:tabs>
      <w:spacing w:line="288" w:lineRule="auto"/>
      <w:outlineLvl w:val="0"/>
      <w:rPr>
        <w:color w:val="000000"/>
        <w:sz w:val="20"/>
      </w:rPr>
    </w:pPr>
    <w:r>
      <w:rPr>
        <w:color w:val="000000"/>
        <w:sz w:val="20"/>
      </w:rPr>
      <w:t>Millsap, Mineral Wells, Weatherford and Willow Park)</w:t>
    </w:r>
  </w:p>
  <w:p w14:paraId="01D9F9AE" w14:textId="77777777" w:rsidR="00CC1567" w:rsidRDefault="00BF4EF6">
    <w:pPr>
      <w:spacing w:line="288" w:lineRule="auto"/>
      <w:outlineLvl w:val="0"/>
      <w:rPr>
        <w:color w:val="000000"/>
        <w:sz w:val="20"/>
      </w:rPr>
    </w:pPr>
    <w:r>
      <w:rPr>
        <w:color w:val="000000"/>
        <w:sz w:val="20"/>
        <w:u w:val="single"/>
      </w:rPr>
      <w:t>August 26, 2024</w:t>
    </w:r>
    <w:r>
      <w:rPr>
        <w:sz w:val="20"/>
      </w:rPr>
      <w:t xml:space="preserve"> (Rio Grande Valley)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60BD1" w14:textId="77777777" w:rsidR="00BF4EF6" w:rsidRDefault="00BF4EF6">
      <w:r>
        <w:separator/>
      </w:r>
    </w:p>
  </w:footnote>
  <w:footnote w:type="continuationSeparator" w:id="0">
    <w:p w14:paraId="0CAEBAAD" w14:textId="77777777" w:rsidR="00BF4EF6" w:rsidRDefault="00BF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91BA" w14:textId="77777777" w:rsidR="00CC1567" w:rsidRDefault="00BF4EF6">
    <w:pPr>
      <w:spacing w:line="288" w:lineRule="auto"/>
      <w:outlineLvl w:val="0"/>
      <w:rPr>
        <w:color w:val="000000"/>
        <w:sz w:val="20"/>
      </w:rPr>
    </w:pPr>
    <w:r>
      <w:rPr>
        <w:b/>
        <w:color w:val="000000"/>
        <w:sz w:val="26"/>
      </w:rPr>
      <w:t xml:space="preserve">Texas Gas Service </w:t>
    </w:r>
    <w:r>
      <w:rPr>
        <w:b/>
        <w:color w:val="000000"/>
        <w:sz w:val="26"/>
      </w:rPr>
      <w:t>Company, a Division of ONE Gas, Inc.</w:t>
    </w:r>
    <w:r>
      <w:rPr>
        <w:b/>
        <w:color w:val="000000"/>
        <w:sz w:val="26"/>
      </w:rPr>
      <w:tab/>
    </w:r>
    <w:r>
      <w:rPr>
        <w:b/>
        <w:color w:val="000000"/>
        <w:sz w:val="26"/>
      </w:rPr>
      <w:tab/>
      <w:t>RATE SCHEDULE 70</w:t>
    </w:r>
  </w:p>
  <w:p w14:paraId="458B5D91" w14:textId="77777777" w:rsidR="00CC1567" w:rsidRDefault="00BF4EF6">
    <w:pPr>
      <w:ind w:left="7200"/>
      <w:outlineLvl w:val="0"/>
      <w:rPr>
        <w:color w:val="000000"/>
        <w:sz w:val="20"/>
      </w:rPr>
    </w:pPr>
    <w:r>
      <w:rPr>
        <w:b/>
        <w:color w:val="000000"/>
        <w:sz w:val="26"/>
      </w:rPr>
      <w:t xml:space="preserve">Page </w:t>
    </w:r>
    <w:r>
      <w:rPr>
        <w:b/>
        <w:color w:val="000000"/>
        <w:sz w:val="26"/>
      </w:rPr>
      <w:fldChar w:fldCharType="begin"/>
    </w:r>
    <w:r>
      <w:rPr>
        <w:b/>
        <w:color w:val="000000"/>
        <w:sz w:val="26"/>
      </w:rPr>
      <w:instrText xml:space="preserve"> PAGE </w:instrText>
    </w:r>
    <w:r>
      <w:rPr>
        <w:b/>
        <w:color w:val="000000"/>
        <w:sz w:val="26"/>
      </w:rPr>
      <w:fldChar w:fldCharType="separate"/>
    </w:r>
    <w:r>
      <w:rPr>
        <w:b/>
        <w:color w:val="000000"/>
        <w:sz w:val="26"/>
      </w:rPr>
      <w:t>2</w:t>
    </w:r>
    <w:r>
      <w:rPr>
        <w:b/>
        <w:color w:val="000000"/>
        <w:sz w:val="26"/>
      </w:rPr>
      <w:fldChar w:fldCharType="end"/>
    </w:r>
    <w:r>
      <w:rPr>
        <w:b/>
        <w:color w:val="000000"/>
        <w:sz w:val="26"/>
      </w:rP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num w:numId="1" w16cid:durableId="666859128">
    <w:abstractNumId w:val="0"/>
  </w:num>
  <w:num w:numId="2" w16cid:durableId="1988169059">
    <w:abstractNumId w:val="1"/>
  </w:num>
  <w:num w:numId="3" w16cid:durableId="478767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noLeading/>
    <w:suppressTopSpacingWP/>
    <w:compatSetting w:name="compatibilityMode" w:uri="http://schemas.microsoft.com/office/word" w:val="12"/>
    <w:compatSetting w:name="useWord2013TrackBottomHyphenation" w:uri="http://schemas.microsoft.com/office/word" w:val="1"/>
  </w:compat>
  <w:rsids>
    <w:rsidRoot w:val="00A77B3E"/>
    <w:rsid w:val="00A77B3E"/>
    <w:rsid w:val="00BF4EF6"/>
    <w:rsid w:val="00CA2A55"/>
    <w:rsid w:val="00CC1567"/>
    <w:rsid w:val="00F20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62DC0"/>
  <w15:docId w15:val="{F371BAAB-BA07-4AF5-8A06-8F2DCAA2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round">
    <w:name w:val="bullet.round"/>
    <w:pPr>
      <w:numPr>
        <w:numId w:val="1"/>
      </w:numPr>
    </w:pPr>
  </w:style>
  <w:style w:type="numbering" w:customStyle="1" w:styleId="listarabic">
    <w:name w:val="list.arabic"/>
    <w:pPr>
      <w:numPr>
        <w:numId w:val="2"/>
      </w:numPr>
    </w:pPr>
  </w:style>
  <w:style w:type="numbering" w:customStyle="1" w:styleId="outlinearabic">
    <w:name w:val="outline.arabi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EB0516098A4EA687651054688B86" ma:contentTypeVersion="3" ma:contentTypeDescription="Create a new document." ma:contentTypeScope="" ma:versionID="3fd8b174609b8db5d814b2188b03825e">
  <xsd:schema xmlns:xsd="http://www.w3.org/2001/XMLSchema" xmlns:xs="http://www.w3.org/2001/XMLSchema" xmlns:p="http://schemas.microsoft.com/office/2006/metadata/properties" xmlns:ns2="f0c4d911-024b-4b5c-bd42-5bf7635b8013" targetNamespace="http://schemas.microsoft.com/office/2006/metadata/properties" ma:root="true" ma:fieldsID="33d9cd95c648ac7c17941b3b732e8e14" ns2:_="">
    <xsd:import namespace="f0c4d911-024b-4b5c-bd42-5bf7635b801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4d911-024b-4b5c-bd42-5bf7635b8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CE641-3181-4B76-9573-3745CBAEB2B2}"/>
</file>

<file path=customXml/itemProps2.xml><?xml version="1.0" encoding="utf-8"?>
<ds:datastoreItem xmlns:ds="http://schemas.openxmlformats.org/officeDocument/2006/customXml" ds:itemID="{94E67F55-6942-4AA7-BA1C-59454A4C04E5}"/>
</file>

<file path=customXml/itemProps3.xml><?xml version="1.0" encoding="utf-8"?>
<ds:datastoreItem xmlns:ds="http://schemas.openxmlformats.org/officeDocument/2006/customXml" ds:itemID="{3E6C3920-89B0-455F-B4D0-A2A7B065DD97}"/>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70-TGS-IS-GasLt_Proposed</dc:title>
  <cp:lastModifiedBy>Bell, Christy M.</cp:lastModifiedBy>
  <cp:revision>2</cp:revision>
  <dcterms:created xsi:type="dcterms:W3CDTF">2025-06-13T20:31:00Z</dcterms:created>
  <dcterms:modified xsi:type="dcterms:W3CDTF">2025-06-13T20:36:00Z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0x0101002583EB0516098A4EA687651054688B86</vt:lpwstr>
  </property>
</Properties>
</file>