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5.3.0 -->
  <w:body>
    <w:p w:rsidR="00A77B3E">
      <w:pPr>
        <w:keepNext w:val="0"/>
        <w:keepLines w:val="0"/>
        <w:pageBreakBefore w:val="0"/>
        <w:widowControl/>
        <w:numPr>
          <w:ilvl w:val="0"/>
          <w:numId w:val="0"/>
        </w:numPr>
        <w:spacing w:before="0" w:after="0" w:line="240" w:lineRule="auto"/>
        <w:ind w:left="0" w:right="432" w:firstLine="0"/>
        <w:jc w:val="left"/>
        <w:outlineLvl w:val="9"/>
        <w:rPr>
          <w:rFonts w:ascii="Times New Roman" w:eastAsia="Times New Roman" w:hAnsi="Times New Roman" w:cs="Times New Roman"/>
          <w:b w:val="0"/>
          <w:i w:val="0"/>
          <w:color w:val="000000"/>
          <w:sz w:val="22"/>
          <w:u w:val="none"/>
        </w:rPr>
      </w:pPr>
      <w:bookmarkStart w:id="0" w:name="Section1"/>
      <w:bookmarkEnd w:id="0"/>
    </w:p>
    <w:p w:rsidR="00A77B3E">
      <w:pPr>
        <w:keepNext w:val="0"/>
        <w:keepLines w:val="0"/>
        <w:pageBreakBefore w:val="0"/>
        <w:widowControl/>
        <w:numPr>
          <w:ilvl w:val="0"/>
          <w:numId w:val="0"/>
        </w:numPr>
        <w:spacing w:before="0" w:after="0" w:line="288" w:lineRule="auto"/>
        <w:ind w:left="0" w:right="0" w:firstLine="0"/>
        <w:jc w:val="center"/>
        <w:outlineLvl w:val="0"/>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none"/>
        </w:rPr>
        <w:t>RATE CASE EXPENSE SURCHARGE</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none"/>
        </w:rPr>
        <w:t>A.</w:t>
      </w:r>
      <w:r>
        <w:rPr>
          <w:rFonts w:ascii="Times New Roman" w:eastAsia="Times New Roman" w:hAnsi="Times New Roman" w:cs="Times New Roman"/>
          <w:b/>
          <w:i w:val="0"/>
          <w:color w:val="000000"/>
          <w:sz w:val="22"/>
          <w:u w:val="none"/>
        </w:rPr>
        <w:tab/>
      </w:r>
      <w:r>
        <w:rPr>
          <w:rFonts w:ascii="Times New Roman" w:eastAsia="Times New Roman" w:hAnsi="Times New Roman" w:cs="Times New Roman"/>
          <w:b/>
          <w:i w:val="0"/>
          <w:color w:val="000000"/>
          <w:sz w:val="22"/>
          <w:u w:val="single"/>
        </w:rPr>
        <w:t>APPLICABILITY</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 xml:space="preserve">The Rate Case Expense Surcharge (RCE) rate as set forth in Section (B) below is pursuant to Gas Utilities Case No. </w:t>
      </w:r>
      <w:r>
        <w:rPr>
          <w:rFonts w:ascii="Times New Roman" w:eastAsia="Times New Roman" w:hAnsi="Times New Roman" w:cs="Times New Roman"/>
          <w:b w:val="0"/>
          <w:i w:val="0"/>
          <w:color w:val="000000"/>
          <w:sz w:val="22"/>
          <w:u w:val="none"/>
          <w:shd w:val="clear" w:color="auto" w:fill="FFFF00"/>
        </w:rPr>
        <w:t>TBD</w:t>
      </w:r>
      <w:r>
        <w:rPr>
          <w:rFonts w:ascii="Times New Roman" w:eastAsia="Times New Roman" w:hAnsi="Times New Roman" w:cs="Times New Roman"/>
          <w:b w:val="0"/>
          <w:i w:val="0"/>
          <w:color w:val="000000"/>
          <w:sz w:val="22"/>
          <w:u w:val="none"/>
        </w:rPr>
        <w:t xml:space="preserve">:  Statement of Intent of Texas Gas Service Company, a Division of ONE Gas, Inc. to Increase Gas Utility Rates Within the Unincorporated Areas of the Rio Grande Valley Service Area, Final Order Finding of Fact No. </w:t>
      </w:r>
      <w:r>
        <w:rPr>
          <w:rFonts w:ascii="Times New Roman" w:eastAsia="Times New Roman" w:hAnsi="Times New Roman" w:cs="Times New Roman"/>
          <w:b w:val="0"/>
          <w:i w:val="0"/>
          <w:color w:val="000000"/>
          <w:sz w:val="22"/>
          <w:u w:val="none"/>
          <w:shd w:val="clear" w:color="auto" w:fill="FFFF00"/>
        </w:rPr>
        <w:t>TBD</w:t>
      </w:r>
      <w:r>
        <w:rPr>
          <w:rFonts w:ascii="Times New Roman" w:eastAsia="Times New Roman" w:hAnsi="Times New Roman" w:cs="Times New Roman"/>
          <w:b w:val="0"/>
          <w:i w:val="0"/>
          <w:color w:val="000000"/>
          <w:sz w:val="22"/>
          <w:u w:val="none"/>
        </w:rPr>
        <w:t xml:space="preserve">.  This rate shall apply to the following rate schedules of Texas Gas Service Company, a Division of ONE Gas, Inc. in the </w:t>
      </w:r>
      <w:r>
        <w:rPr>
          <w:rFonts w:ascii="Times New Roman" w:eastAsia="Times New Roman" w:hAnsi="Times New Roman" w:cs="Times New Roman"/>
          <w:b w:val="0"/>
          <w:i w:val="0"/>
          <w:color w:val="000000"/>
          <w:sz w:val="22"/>
          <w:u w:val="none"/>
        </w:rPr>
        <w:t>uninc</w:t>
      </w:r>
      <w:r>
        <w:rPr>
          <w:rFonts w:ascii="Times New Roman" w:eastAsia="Times New Roman" w:hAnsi="Times New Roman" w:cs="Times New Roman"/>
          <w:b w:val="0"/>
          <w:i w:val="0"/>
          <w:color w:val="000000"/>
          <w:sz w:val="22"/>
          <w:u w:val="none"/>
        </w:rPr>
        <w:t>orporated</w:t>
      </w:r>
      <w:r>
        <w:rPr>
          <w:rFonts w:ascii="Times New Roman" w:eastAsia="Times New Roman" w:hAnsi="Times New Roman" w:cs="Times New Roman"/>
          <w:b w:val="0"/>
          <w:i w:val="0"/>
          <w:color w:val="000000"/>
          <w:sz w:val="22"/>
          <w:u w:val="none"/>
        </w:rPr>
        <w:t xml:space="preserve"> areas of the Rio Grande Valley Service Area which includes </w:t>
      </w:r>
      <w:r>
        <w:rPr>
          <w:rFonts w:ascii="Times New Roman" w:eastAsia="Times New Roman" w:hAnsi="Times New Roman" w:cs="Times New Roman"/>
          <w:b w:val="0"/>
          <w:i w:val="0"/>
          <w:color w:val="000000"/>
          <w:sz w:val="22"/>
          <w:u w:val="none"/>
        </w:rPr>
        <w:t xml:space="preserve">the environs of </w:t>
      </w:r>
      <w:r>
        <w:rPr>
          <w:rFonts w:ascii="Times New Roman" w:eastAsia="Times New Roman" w:hAnsi="Times New Roman" w:cs="Times New Roman"/>
          <w:b w:val="0"/>
          <w:i w:val="0"/>
          <w:color w:val="000000"/>
          <w:sz w:val="22"/>
          <w:u w:val="none"/>
        </w:rPr>
        <w:t xml:space="preserve">Alamo, Alton, Brownsville, Combes, Donna, Edcouch, Edinburg, Elsa, Harlingen, Hidalgo, La Feria, La Joya, La Villa, Laguna Vista, Los Fresnos, Lyford, McAllen, Mercedes, Mission, Palm Valley, Palmhurst, Palmview, Penitas, Pharr, Port Isabel, Primera, Progreso, Rancho Viejo, Raymondville, Rio Hondo, San Benito, San Juan, Santa Rosa, and Weslaco, Texas, the unincorporated cities of Bayview, Laguna Heights, Monte Alto, Olmito, and San Carlos and the unincorporated areas of Jim Hogg and Starr counties, Texas: </w:t>
      </w:r>
      <w:r>
        <w:rPr>
          <w:rFonts w:ascii="Times New Roman" w:eastAsia="Times New Roman" w:hAnsi="Times New Roman" w:cs="Times New Roman"/>
          <w:b w:val="0"/>
          <w:i w:val="0"/>
          <w:color w:val="000000"/>
          <w:sz w:val="22"/>
          <w:u w:val="none"/>
        </w:rPr>
        <w:t xml:space="preserve">1Z, 1Y, 1W, 2Z, </w:t>
      </w:r>
      <w:r>
        <w:rPr>
          <w:rFonts w:ascii="Times New Roman" w:eastAsia="Times New Roman" w:hAnsi="Times New Roman" w:cs="Times New Roman"/>
          <w:b w:val="0"/>
          <w:i w:val="0"/>
          <w:color w:val="000000"/>
          <w:sz w:val="22"/>
          <w:u w:val="none"/>
        </w:rPr>
        <w:t xml:space="preserve">2Y, </w:t>
      </w:r>
      <w:r>
        <w:rPr>
          <w:rFonts w:ascii="Times New Roman" w:eastAsia="Times New Roman" w:hAnsi="Times New Roman" w:cs="Times New Roman"/>
          <w:b w:val="0"/>
          <w:i w:val="0"/>
          <w:color w:val="000000"/>
          <w:sz w:val="22"/>
          <w:u w:val="none"/>
        </w:rPr>
        <w:t xml:space="preserve">3Z, 4Z, 6Z, </w:t>
      </w:r>
      <w:r>
        <w:rPr>
          <w:rFonts w:ascii="Times New Roman" w:eastAsia="Times New Roman" w:hAnsi="Times New Roman" w:cs="Times New Roman"/>
          <w:b w:val="0"/>
          <w:i w:val="0"/>
          <w:color w:val="000000"/>
          <w:sz w:val="22"/>
          <w:u w:val="none"/>
        </w:rPr>
        <w:t xml:space="preserve">CNG-1-ENV, </w:t>
      </w:r>
      <w:r>
        <w:rPr>
          <w:rFonts w:ascii="Times New Roman" w:eastAsia="Times New Roman" w:hAnsi="Times New Roman" w:cs="Times New Roman"/>
          <w:b w:val="0"/>
          <w:i w:val="0"/>
          <w:color w:val="000000"/>
          <w:sz w:val="22"/>
          <w:u w:val="none"/>
        </w:rPr>
        <w:t xml:space="preserve">T-1-ENV, </w:t>
      </w:r>
      <w:r>
        <w:rPr>
          <w:rFonts w:ascii="Times New Roman" w:eastAsia="Times New Roman" w:hAnsi="Times New Roman" w:cs="Times New Roman"/>
          <w:b w:val="0"/>
          <w:i w:val="0"/>
          <w:color w:val="000000"/>
          <w:sz w:val="22"/>
          <w:u w:val="none"/>
        </w:rPr>
        <w:t>and T-EGEN</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ENV</w:t>
      </w:r>
      <w:r>
        <w:rPr>
          <w:rFonts w:ascii="Times New Roman" w:eastAsia="Times New Roman" w:hAnsi="Times New Roman" w:cs="Times New Roman"/>
          <w:b w:val="0"/>
          <w:i w:val="0"/>
          <w:color w:val="000000"/>
          <w:sz w:val="22"/>
          <w:u w:val="none"/>
        </w:rPr>
        <w:t>.</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none"/>
        </w:rPr>
        <w:t>B.</w:t>
      </w:r>
      <w:r>
        <w:rPr>
          <w:rFonts w:ascii="Times New Roman" w:eastAsia="Times New Roman" w:hAnsi="Times New Roman" w:cs="Times New Roman"/>
          <w:b/>
          <w:i w:val="0"/>
          <w:color w:val="000000"/>
          <w:sz w:val="22"/>
          <w:u w:val="none"/>
        </w:rPr>
        <w:tab/>
      </w:r>
      <w:r>
        <w:rPr>
          <w:rFonts w:ascii="Times New Roman" w:eastAsia="Times New Roman" w:hAnsi="Times New Roman" w:cs="Times New Roman"/>
          <w:b/>
          <w:i w:val="0"/>
          <w:color w:val="000000"/>
          <w:sz w:val="22"/>
          <w:u w:val="single"/>
        </w:rPr>
        <w:t>RCE RATE</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sz w:val="22"/>
        </w:rPr>
        <w:t xml:space="preserve">All Ccf </w:t>
      </w:r>
      <w:r>
        <w:rPr>
          <w:rFonts w:ascii="Times New Roman" w:eastAsia="Times New Roman" w:hAnsi="Times New Roman" w:cs="Times New Roman"/>
          <w:b w:val="0"/>
          <w:i w:val="0"/>
          <w:sz w:val="22"/>
        </w:rPr>
        <w:t xml:space="preserve">metered @14.65 psi* during the </w:t>
      </w:r>
      <w:r>
        <w:rPr>
          <w:rFonts w:ascii="Times New Roman" w:eastAsia="Times New Roman" w:hAnsi="Times New Roman" w:cs="Times New Roman"/>
          <w:b w:val="0"/>
          <w:i w:val="0"/>
          <w:sz w:val="22"/>
        </w:rPr>
        <w:t>monthly billing period @</w:t>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 xml:space="preserve">$ </w:t>
      </w:r>
      <w:r>
        <w:rPr>
          <w:rFonts w:ascii="Times New Roman" w:eastAsia="Times New Roman" w:hAnsi="Times New Roman" w:cs="Times New Roman"/>
          <w:b w:val="0"/>
          <w:i w:val="0"/>
          <w:color w:val="000000"/>
          <w:sz w:val="22"/>
          <w:u w:val="none"/>
          <w:shd w:val="clear" w:color="auto" w:fill="FFFF00"/>
        </w:rPr>
        <w:t>TBD</w:t>
      </w:r>
      <w:r>
        <w:rPr>
          <w:rFonts w:ascii="Times New Roman" w:eastAsia="Times New Roman" w:hAnsi="Times New Roman" w:cs="Times New Roman"/>
          <w:b w:val="0"/>
          <w:i w:val="0"/>
          <w:color w:val="000000"/>
          <w:sz w:val="22"/>
          <w:u w:val="none"/>
        </w:rPr>
        <w:t xml:space="preserve"> per Ccf</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2" w:line="288" w:lineRule="auto"/>
        <w:ind w:left="720" w:right="0" w:firstLine="0"/>
        <w:jc w:val="both"/>
        <w:outlineLvl w:val="9"/>
        <w:rPr>
          <w:rFonts w:ascii="Times New Roman" w:eastAsia="Times New Roman" w:hAnsi="Times New Roman" w:cs="Times New Roman"/>
          <w:b/>
          <w:i w:val="0"/>
          <w:color w:val="000000"/>
          <w:sz w:val="22"/>
          <w:u w:val="none"/>
        </w:rPr>
      </w:pPr>
      <w:r>
        <w:rPr>
          <w:rFonts w:ascii="Times New Roman" w:eastAsia="Times New Roman" w:hAnsi="Times New Roman" w:cs="Times New Roman"/>
          <w:b w:val="0"/>
          <w:i w:val="0"/>
          <w:sz w:val="22"/>
        </w:rPr>
        <w:t>*All customers will be billed at a Common Billing Pressure of 14.65 psi, but not all customers receive service at the pressure base of 14.65 psi. To determine the pressure base and conversion factors for your location, refer to the Company's Rules of Service (Rate Schedule Number QSR-</w:t>
      </w:r>
      <w:r>
        <w:rPr>
          <w:rFonts w:ascii="Times New Roman" w:eastAsia="Times New Roman" w:hAnsi="Times New Roman" w:cs="Times New Roman"/>
          <w:b w:val="0"/>
          <w:i w:val="0"/>
          <w:sz w:val="22"/>
        </w:rPr>
        <w:t>RGV</w:t>
      </w:r>
      <w:r>
        <w:rPr>
          <w:rFonts w:ascii="Times New Roman" w:eastAsia="Times New Roman" w:hAnsi="Times New Roman" w:cs="Times New Roman"/>
          <w:b w:val="0"/>
          <w:i w:val="0"/>
          <w:sz w:val="22"/>
        </w:rPr>
        <w:t>), Section 13.1.</w:t>
      </w:r>
    </w:p>
    <w:p w:rsidR="00A77B3E">
      <w:pPr>
        <w:keepNext w:val="0"/>
        <w:keepLines w:val="0"/>
        <w:pageBreakBefore w:val="0"/>
        <w:widowControl/>
        <w:numPr>
          <w:ilvl w:val="0"/>
          <w:numId w:val="0"/>
        </w:numPr>
        <w:spacing w:before="0" w:after="2" w:line="288" w:lineRule="auto"/>
        <w:ind w:left="0" w:right="0" w:firstLine="0"/>
        <w:jc w:val="both"/>
        <w:outlineLvl w:val="9"/>
        <w:rPr>
          <w:rFonts w:ascii="Times New Roman" w:eastAsia="Times New Roman" w:hAnsi="Times New Roman" w:cs="Times New Roman"/>
          <w:b w:val="0"/>
          <w:i w:val="0"/>
          <w:sz w:val="22"/>
        </w:rPr>
      </w:pP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This rate will be in effect until all approved and expended rate case expenses are recovered under the applicable rate schedules.  Texas Gas Service Company, a Division of ONE Gas, Inc. will recover $</w:t>
      </w:r>
      <w:r>
        <w:rPr>
          <w:rFonts w:ascii="Times New Roman" w:eastAsia="Times New Roman" w:hAnsi="Times New Roman" w:cs="Times New Roman"/>
          <w:b w:val="0"/>
          <w:i w:val="0"/>
          <w:color w:val="000000"/>
          <w:sz w:val="22"/>
          <w:u w:val="none"/>
          <w:shd w:val="clear" w:color="auto" w:fill="FFFF00"/>
        </w:rPr>
        <w:t>TBD</w:t>
      </w:r>
      <w:r>
        <w:rPr>
          <w:rFonts w:ascii="Times New Roman" w:eastAsia="Times New Roman" w:hAnsi="Times New Roman" w:cs="Times New Roman"/>
          <w:b w:val="0"/>
          <w:i w:val="0"/>
          <w:color w:val="000000"/>
          <w:sz w:val="22"/>
          <w:u w:val="none"/>
        </w:rPr>
        <w:t xml:space="preserve"> in actual expense and up to $</w:t>
      </w:r>
      <w:r>
        <w:rPr>
          <w:rFonts w:ascii="Times New Roman" w:eastAsia="Times New Roman" w:hAnsi="Times New Roman" w:cs="Times New Roman"/>
          <w:b w:val="0"/>
          <w:i w:val="0"/>
          <w:color w:val="000000"/>
          <w:sz w:val="22"/>
          <w:u w:val="none"/>
          <w:shd w:val="clear" w:color="auto" w:fill="FFFF00"/>
        </w:rPr>
        <w:t>TBD</w:t>
      </w:r>
      <w:r>
        <w:rPr>
          <w:rFonts w:ascii="Times New Roman" w:eastAsia="Times New Roman" w:hAnsi="Times New Roman" w:cs="Times New Roman"/>
          <w:b w:val="0"/>
          <w:i w:val="0"/>
          <w:color w:val="000000"/>
          <w:sz w:val="22"/>
          <w:u w:val="none"/>
        </w:rPr>
        <w:t xml:space="preserve"> in estimated expenses.  The Rate Case Expense Surcharge will be a separate line item on the bill.</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none"/>
        </w:rPr>
        <w:t>C.</w:t>
      </w:r>
      <w:r>
        <w:rPr>
          <w:rFonts w:ascii="Times New Roman" w:eastAsia="Times New Roman" w:hAnsi="Times New Roman" w:cs="Times New Roman"/>
          <w:b/>
          <w:i w:val="0"/>
          <w:color w:val="000000"/>
          <w:sz w:val="22"/>
          <w:u w:val="none"/>
        </w:rPr>
        <w:tab/>
      </w:r>
      <w:r>
        <w:rPr>
          <w:rFonts w:ascii="Times New Roman" w:eastAsia="Times New Roman" w:hAnsi="Times New Roman" w:cs="Times New Roman"/>
          <w:b/>
          <w:i w:val="0"/>
          <w:color w:val="000000"/>
          <w:sz w:val="22"/>
          <w:u w:val="single"/>
        </w:rPr>
        <w:t>OTHER ADJUSTMENTS</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Plus applicable taxes and fees related to above.</w:t>
      </w:r>
    </w:p>
    <w:p w:rsidR="00A77B3E">
      <w:pPr>
        <w:keepNext w:val="0"/>
        <w:keepLines w:val="0"/>
        <w:pageBreakBefore w:val="0"/>
        <w:widowControl/>
        <w:numPr>
          <w:ilvl w:val="0"/>
          <w:numId w:val="0"/>
        </w:numPr>
        <w:spacing w:before="0" w:after="0" w:line="288" w:lineRule="auto"/>
        <w:ind w:left="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none"/>
        </w:rPr>
        <w:t>D.</w:t>
      </w:r>
      <w:r>
        <w:rPr>
          <w:rFonts w:ascii="Times New Roman" w:eastAsia="Times New Roman" w:hAnsi="Times New Roman" w:cs="Times New Roman"/>
          <w:b/>
          <w:i w:val="0"/>
          <w:color w:val="000000"/>
          <w:sz w:val="22"/>
          <w:u w:val="none"/>
        </w:rPr>
        <w:tab/>
      </w:r>
      <w:r>
        <w:rPr>
          <w:rFonts w:ascii="Times New Roman" w:eastAsia="Times New Roman" w:hAnsi="Times New Roman" w:cs="Times New Roman"/>
          <w:b/>
          <w:i w:val="0"/>
          <w:color w:val="000000"/>
          <w:sz w:val="22"/>
          <w:u w:val="single"/>
        </w:rPr>
        <w:t>CONDITIONS</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Subject to all applicable laws and orders, and the Company</w:t>
      </w:r>
      <w:r>
        <w:rPr>
          <w:rFonts w:ascii="Times New Roman" w:eastAsia="Times New Roman" w:hAnsi="Times New Roman" w:cs="Times New Roman"/>
          <w:b w:val="0"/>
          <w:i w:val="0"/>
          <w:color w:val="000000"/>
          <w:sz w:val="22"/>
          <w:u w:val="none"/>
        </w:rPr>
        <w:t>’</w:t>
      </w:r>
      <w:r>
        <w:rPr>
          <w:rFonts w:ascii="Times New Roman" w:eastAsia="Times New Roman" w:hAnsi="Times New Roman" w:cs="Times New Roman"/>
          <w:b w:val="0"/>
          <w:i w:val="0"/>
          <w:color w:val="000000"/>
          <w:sz w:val="22"/>
          <w:u w:val="none"/>
        </w:rPr>
        <w:t>s rules and regulations on file with the regulatory authority.</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rPr>
      </w:pPr>
      <w:r>
        <w:rPr>
          <w:rFonts w:ascii="Times New Roman" w:eastAsia="Times New Roman" w:hAnsi="Times New Roman" w:cs="Times New Roman"/>
          <w:b/>
          <w:i w:val="0"/>
          <w:color w:val="000000"/>
          <w:sz w:val="22"/>
          <w:u w:val="none"/>
        </w:rPr>
        <w:t>E.</w:t>
      </w:r>
      <w:r>
        <w:rPr>
          <w:rFonts w:ascii="Times New Roman" w:eastAsia="Times New Roman" w:hAnsi="Times New Roman" w:cs="Times New Roman"/>
          <w:b/>
          <w:i w:val="0"/>
          <w:color w:val="000000"/>
          <w:sz w:val="22"/>
          <w:u w:val="none"/>
        </w:rPr>
        <w:tab/>
      </w:r>
      <w:r>
        <w:rPr>
          <w:rFonts w:ascii="Times New Roman" w:eastAsia="Times New Roman" w:hAnsi="Times New Roman" w:cs="Times New Roman"/>
          <w:b/>
          <w:i w:val="0"/>
          <w:color w:val="000000"/>
          <w:sz w:val="22"/>
          <w:u w:val="single"/>
        </w:rPr>
        <w:t>COMPLIANCE</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rPr>
      </w:pP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shd w:val="clear" w:color="auto" w:fill="auto"/>
        </w:rPr>
      </w:pPr>
      <w:r>
        <w:rPr>
          <w:rFonts w:ascii="Times New Roman" w:eastAsia="Times New Roman" w:hAnsi="Times New Roman" w:cs="Times New Roman"/>
          <w:b w:val="0"/>
          <w:i w:val="0"/>
          <w:color w:val="000000"/>
          <w:sz w:val="22"/>
          <w:u w:val="none"/>
        </w:rPr>
        <w:t xml:space="preserve">The Company shall file an annual rate case expense reconciliation report within ninety (90) days after each calendar year end until and including the calendar year end in which the rate case expenses are fully recovered.  The Company shall file the report with the Commission addressed to the Director of Oversight and Safety Division, Gas Services Department and referencing Gas Utilities Case No. </w:t>
      </w:r>
      <w:r>
        <w:rPr>
          <w:rFonts w:ascii="Times New Roman" w:eastAsia="Times New Roman" w:hAnsi="Times New Roman" w:cs="Times New Roman"/>
          <w:b w:val="0"/>
          <w:i w:val="0"/>
          <w:color w:val="000000"/>
          <w:sz w:val="22"/>
          <w:u w:val="none"/>
          <w:shd w:val="clear" w:color="auto" w:fill="FFFF00"/>
        </w:rPr>
        <w:t>TBD</w:t>
      </w:r>
      <w:r>
        <w:rPr>
          <w:rFonts w:ascii="Times New Roman" w:eastAsia="Times New Roman" w:hAnsi="Times New Roman" w:cs="Times New Roman"/>
          <w:b w:val="0"/>
          <w:i w:val="0"/>
          <w:color w:val="000000"/>
          <w:sz w:val="22"/>
          <w:u w:val="none"/>
        </w:rPr>
        <w:t xml:space="preserve"> Rate Case Expense Recovery Report.  The report shall detail the monthly collections for RCE surcharge by customer class and show the outstanding balance.  Reports for the Commission should be filed electronically at </w:t>
      </w:r>
      <w:hyperlink r:id="rId4" w:history="1">
        <w:r>
          <w:rPr>
            <w:rFonts w:ascii="Times New Roman" w:eastAsia="Times New Roman" w:hAnsi="Times New Roman" w:cs="Times New Roman"/>
            <w:b w:val="0"/>
            <w:i w:val="0"/>
            <w:color w:val="0000FF"/>
            <w:sz w:val="22"/>
            <w:u w:val="single"/>
            <w:shd w:val="clear" w:color="auto" w:fill="auto"/>
          </w:rPr>
          <w:t>GUD_Compliance@rrc.texas.gov</w:t>
        </w:r>
      </w:hyperlink>
      <w:r>
        <w:rPr>
          <w:rFonts w:ascii="Times New Roman" w:eastAsia="Times New Roman" w:hAnsi="Times New Roman" w:cs="Times New Roman"/>
          <w:b w:val="0"/>
          <w:i w:val="0"/>
          <w:color w:val="000000"/>
          <w:sz w:val="22"/>
          <w:u w:val="none"/>
        </w:rPr>
        <w:t xml:space="preserve"> or at the following address:</w:t>
      </w:r>
    </w:p>
    <w:p w:rsidR="00A77B3E">
      <w:pPr>
        <w:keepNext w:val="0"/>
        <w:keepLines w:val="0"/>
        <w:pageBreakBefore/>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shd w:val="clear" w:color="auto" w:fill="auto"/>
        </w:rPr>
      </w:pPr>
    </w:p>
    <w:p w:rsidR="00A77B3E">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color w:val="000000"/>
          <w:sz w:val="22"/>
          <w:u w:val="none"/>
          <w:shd w:val="clear" w:color="auto" w:fill="auto"/>
        </w:rPr>
      </w:pPr>
      <w:r>
        <w:rPr>
          <w:rFonts w:ascii="Times New Roman" w:eastAsia="Times New Roman" w:hAnsi="Times New Roman" w:cs="Times New Roman"/>
          <w:b/>
          <w:i w:val="0"/>
          <w:color w:val="000000"/>
          <w:sz w:val="22"/>
          <w:u w:val="none"/>
        </w:rPr>
        <w:t>RATE CASE EXPENSE SURCHARGE</w:t>
      </w:r>
      <w:r>
        <w:rPr>
          <w:rFonts w:ascii="Times New Roman" w:eastAsia="Times New Roman" w:hAnsi="Times New Roman" w:cs="Times New Roman"/>
          <w:b/>
          <w:i w:val="0"/>
          <w:color w:val="000000"/>
          <w:sz w:val="22"/>
          <w:u w:val="none"/>
        </w:rPr>
        <w:t xml:space="preserve"> (Continued)</w:t>
      </w:r>
    </w:p>
    <w:p w:rsidR="00A77B3E">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2"/>
          <w:u w:val="none"/>
          <w:shd w:val="clear" w:color="auto" w:fill="auto"/>
        </w:rPr>
      </w:pP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shd w:val="clear" w:color="auto" w:fill="auto"/>
        </w:rPr>
      </w:pPr>
      <w:r>
        <w:rPr>
          <w:rFonts w:ascii="Times New Roman" w:eastAsia="Times New Roman" w:hAnsi="Times New Roman" w:cs="Times New Roman"/>
          <w:b w:val="0"/>
          <w:i w:val="0"/>
          <w:color w:val="000000"/>
          <w:sz w:val="22"/>
          <w:u w:val="none"/>
        </w:rPr>
        <w:t>Compliance Filing</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shd w:val="clear" w:color="auto" w:fill="auto"/>
        </w:rPr>
      </w:pPr>
      <w:r>
        <w:rPr>
          <w:rFonts w:ascii="Times New Roman" w:eastAsia="Times New Roman" w:hAnsi="Times New Roman" w:cs="Times New Roman"/>
          <w:b w:val="0"/>
          <w:i w:val="0"/>
          <w:color w:val="000000"/>
          <w:sz w:val="22"/>
          <w:u w:val="none"/>
        </w:rPr>
        <w:t>Director of Oversight and Safety Division</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shd w:val="clear" w:color="auto" w:fill="auto"/>
        </w:rPr>
      </w:pPr>
      <w:r>
        <w:rPr>
          <w:rFonts w:ascii="Times New Roman" w:eastAsia="Times New Roman" w:hAnsi="Times New Roman" w:cs="Times New Roman"/>
          <w:b w:val="0"/>
          <w:i w:val="0"/>
          <w:color w:val="000000"/>
          <w:sz w:val="22"/>
          <w:u w:val="none"/>
        </w:rPr>
        <w:t>Gas Services Dept.</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shd w:val="clear" w:color="auto" w:fill="auto"/>
        </w:rPr>
      </w:pPr>
      <w:r>
        <w:rPr>
          <w:rFonts w:ascii="Times New Roman" w:eastAsia="Times New Roman" w:hAnsi="Times New Roman" w:cs="Times New Roman"/>
          <w:b w:val="0"/>
          <w:i w:val="0"/>
          <w:color w:val="000000"/>
          <w:sz w:val="22"/>
          <w:u w:val="none"/>
        </w:rPr>
        <w:t>Railroad Commission of Texas</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shd w:val="clear" w:color="auto" w:fill="auto"/>
        </w:rPr>
      </w:pPr>
      <w:r>
        <w:rPr>
          <w:rFonts w:ascii="Times New Roman" w:eastAsia="Times New Roman" w:hAnsi="Times New Roman" w:cs="Times New Roman"/>
          <w:b w:val="0"/>
          <w:i w:val="0"/>
          <w:color w:val="000000"/>
          <w:sz w:val="22"/>
          <w:u w:val="none"/>
        </w:rPr>
        <w:t>P.O. Box 12967</w:t>
      </w:r>
    </w:p>
    <w:p w:rsidR="00A77B3E">
      <w:pPr>
        <w:keepNext w:val="0"/>
        <w:keepLines w:val="0"/>
        <w:pageBreakBefore w:val="0"/>
        <w:widowControl/>
        <w:numPr>
          <w:ilvl w:val="0"/>
          <w:numId w:val="0"/>
        </w:numPr>
        <w:spacing w:before="0" w:after="0" w:line="288" w:lineRule="auto"/>
        <w:ind w:left="720" w:right="0" w:firstLine="0"/>
        <w:jc w:val="both"/>
        <w:outlineLvl w:val="9"/>
        <w:rPr>
          <w:rFonts w:ascii="Times New Roman" w:eastAsia="Times New Roman" w:hAnsi="Times New Roman" w:cs="Times New Roman"/>
          <w:b w:val="0"/>
          <w:i w:val="0"/>
          <w:color w:val="000000"/>
          <w:sz w:val="22"/>
          <w:u w:val="none"/>
          <w:shd w:val="clear" w:color="auto" w:fill="auto"/>
        </w:rPr>
      </w:pPr>
      <w:r>
        <w:rPr>
          <w:rFonts w:ascii="Times New Roman" w:eastAsia="Times New Roman" w:hAnsi="Times New Roman" w:cs="Times New Roman"/>
          <w:b w:val="0"/>
          <w:i w:val="0"/>
          <w:color w:val="000000"/>
          <w:sz w:val="22"/>
          <w:u w:val="none"/>
        </w:rPr>
        <w:t>Austin, TX 78711-2967</w:t>
      </w:r>
    </w:p>
    <w:sectPr>
      <w:headerReference w:type="default" r:id="rId5"/>
      <w:footerReference w:type="default" r:id="rId6"/>
      <w:type w:val="continuous"/>
      <w:pgSz w:w="12240" w:h="15840"/>
      <w:pgMar w:top="1440" w:right="1080" w:bottom="1440" w:left="108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40" w:lineRule="auto"/>
      <w:ind w:left="0" w:right="0" w:firstLine="0"/>
      <w:jc w:val="left"/>
      <w:outlineLvl w:val="0"/>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Initial Rate Schedule</w:t>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single"/>
      </w:rPr>
      <w:t>Meters Read</w:t>
    </w:r>
    <w:r>
      <w:rPr>
        <w:rFonts w:ascii="Times New Roman" w:eastAsia="Times New Roman" w:hAnsi="Times New Roman" w:cs="Times New Roman"/>
        <w:b w:val="0"/>
        <w:i w:val="0"/>
        <w:color w:val="000000"/>
        <w:sz w:val="22"/>
        <w:u w:val="single"/>
      </w:rPr>
      <w:t xml:space="preserve"> On and After</w:t>
    </w:r>
  </w:p>
  <w:p>
    <w:pPr>
      <w:keepNext w:val="0"/>
      <w:keepLines w:val="0"/>
      <w:pageBreakBefore w:val="0"/>
      <w:widowControl/>
      <w:numPr>
        <w:ilvl w:val="0"/>
        <w:numId w:val="0"/>
      </w:numPr>
      <w:spacing w:before="0" w:after="2" w:line="319" w:lineRule="auto"/>
      <w:ind w:left="0" w:right="0" w:firstLine="0"/>
      <w:jc w:val="left"/>
      <w:outlineLvl w:val="0"/>
      <w:rPr>
        <w:rFonts w:ascii="Times New Roman" w:eastAsia="Times New Roman" w:hAnsi="Times New Roman" w:cs="Times New Roman"/>
        <w:b w:val="0"/>
        <w:i w:val="0"/>
        <w:color w:val="000000"/>
        <w:sz w:val="22"/>
        <w:u w:val="none"/>
      </w:rPr>
    </w:pP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ab/>
    </w:r>
    <w:r>
      <w:rPr>
        <w:rFonts w:ascii="Times New Roman" w:eastAsia="Times New Roman" w:hAnsi="Times New Roman" w:cs="Times New Roman"/>
        <w:b w:val="0"/>
        <w:i w:val="0"/>
        <w:color w:val="000000"/>
        <w:sz w:val="22"/>
        <w:u w:val="none"/>
      </w:rPr>
      <w:t>TBD</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left" w:pos="6200"/>
      </w:tabs>
      <w:spacing w:before="0" w:after="0" w:line="288" w:lineRule="auto"/>
      <w:ind w:left="0" w:right="0" w:firstLine="0"/>
      <w:jc w:val="both"/>
      <w:outlineLvl w:val="0"/>
      <w:rPr>
        <w:rFonts w:ascii="Times New Roman" w:eastAsia="Times New Roman" w:hAnsi="Times New Roman" w:cs="Times New Roman"/>
        <w:b w:val="0"/>
        <w:i w:val="0"/>
        <w:color w:val="000000"/>
        <w:sz w:val="24"/>
        <w:u w:val="none"/>
      </w:rPr>
    </w:pPr>
    <w:r>
      <w:rPr>
        <w:rFonts w:ascii="Times New Roman" w:eastAsia="Times New Roman" w:hAnsi="Times New Roman" w:cs="Times New Roman"/>
        <w:b/>
        <w:i w:val="0"/>
        <w:color w:val="000000"/>
        <w:sz w:val="24"/>
        <w:u w:val="none"/>
      </w:rPr>
      <w:t>Texas Gas Service Company, a Division of ONE Gas, Inc.</w:t>
    </w:r>
    <w:r>
      <w:rPr>
        <w:rFonts w:ascii="Times New Roman" w:eastAsia="Times New Roman" w:hAnsi="Times New Roman" w:cs="Times New Roman"/>
        <w:b/>
        <w:i w:val="0"/>
        <w:color w:val="000000"/>
        <w:sz w:val="24"/>
        <w:u w:val="none"/>
      </w:rPr>
      <w:tab/>
    </w:r>
    <w:r>
      <w:rPr>
        <w:rFonts w:ascii="Times New Roman" w:eastAsia="Times New Roman" w:hAnsi="Times New Roman" w:cs="Times New Roman"/>
        <w:b/>
        <w:i w:val="0"/>
        <w:color w:val="000000"/>
        <w:sz w:val="24"/>
        <w:u w:val="none"/>
      </w:rPr>
      <w:t>RATE SCHEDULE RCE-</w:t>
    </w:r>
    <w:r>
      <w:rPr>
        <w:rFonts w:ascii="Times New Roman" w:eastAsia="Times New Roman" w:hAnsi="Times New Roman" w:cs="Times New Roman"/>
        <w:b/>
        <w:i w:val="0"/>
        <w:color w:val="000000"/>
        <w:sz w:val="24"/>
        <w:u w:val="none"/>
      </w:rPr>
      <w:t>R</w:t>
    </w:r>
    <w:r>
      <w:rPr>
        <w:rFonts w:ascii="Times New Roman" w:eastAsia="Times New Roman" w:hAnsi="Times New Roman" w:cs="Times New Roman"/>
        <w:b/>
        <w:i w:val="0"/>
        <w:color w:val="000000"/>
        <w:sz w:val="24"/>
        <w:u w:val="none"/>
      </w:rPr>
      <w:t>G</w:t>
    </w:r>
    <w:r>
      <w:rPr>
        <w:rFonts w:ascii="Times New Roman" w:eastAsia="Times New Roman" w:hAnsi="Times New Roman" w:cs="Times New Roman"/>
        <w:b/>
        <w:i w:val="0"/>
        <w:color w:val="000000"/>
        <w:sz w:val="24"/>
        <w:u w:val="none"/>
      </w:rPr>
      <w:t>V-</w:t>
    </w:r>
    <w:r>
      <w:rPr>
        <w:rFonts w:ascii="Times New Roman" w:eastAsia="Times New Roman" w:hAnsi="Times New Roman" w:cs="Times New Roman"/>
        <w:b/>
        <w:i w:val="0"/>
        <w:color w:val="000000"/>
        <w:sz w:val="24"/>
        <w:u w:val="none"/>
      </w:rPr>
      <w:t>ENV</w:t>
    </w:r>
  </w:p>
  <w:p>
    <w:pPr>
      <w:keepNext w:val="0"/>
      <w:keepLines w:val="0"/>
      <w:pageBreakBefore w:val="0"/>
      <w:widowControl/>
      <w:numPr>
        <w:ilvl w:val="0"/>
        <w:numId w:val="0"/>
      </w:numPr>
      <w:tabs>
        <w:tab w:val="left" w:pos="6200"/>
      </w:tabs>
      <w:spacing w:before="0" w:after="0" w:line="288" w:lineRule="auto"/>
      <w:ind w:left="0" w:right="0" w:firstLine="0"/>
      <w:jc w:val="both"/>
      <w:outlineLvl w:val="0"/>
      <w:rPr>
        <w:rFonts w:ascii="Times New Roman" w:eastAsia="Times New Roman" w:hAnsi="Times New Roman" w:cs="Times New Roman"/>
        <w:b w:val="0"/>
        <w:i w:val="0"/>
        <w:color w:val="000000"/>
        <w:sz w:val="24"/>
        <w:u w:val="none"/>
      </w:rPr>
    </w:pPr>
    <w:r>
      <w:rPr>
        <w:rFonts w:ascii="Times New Roman" w:eastAsia="Times New Roman" w:hAnsi="Times New Roman" w:cs="Times New Roman"/>
        <w:b/>
        <w:i w:val="0"/>
        <w:color w:val="000000"/>
        <w:sz w:val="24"/>
        <w:u w:val="none"/>
      </w:rPr>
      <w:t>Rio Grande Valley Service Area</w:t>
    </w:r>
    <w:r>
      <w:rPr>
        <w:rFonts w:ascii="Times New Roman" w:eastAsia="Times New Roman" w:hAnsi="Times New Roman" w:cs="Times New Roman"/>
        <w:b/>
        <w:i w:val="0"/>
        <w:color w:val="000000"/>
        <w:sz w:val="24"/>
        <w:u w:val="none"/>
      </w:rPr>
      <w:t xml:space="preserve"> </w:t>
    </w:r>
    <w:r>
      <w:rPr>
        <w:rFonts w:ascii="Times New Roman" w:eastAsia="Times New Roman" w:hAnsi="Times New Roman" w:cs="Times New Roman"/>
        <w:b/>
        <w:i w:val="0"/>
        <w:color w:val="000000"/>
        <w:sz w:val="24"/>
        <w:u w:val="none"/>
      </w:rPr>
      <w:tab/>
    </w:r>
    <w:r>
      <w:rPr>
        <w:rFonts w:ascii="Times New Roman" w:eastAsia="Times New Roman" w:hAnsi="Times New Roman" w:cs="Times New Roman"/>
        <w:b/>
        <w:i w:val="0"/>
        <w:color w:val="000000"/>
        <w:sz w:val="24"/>
        <w:u w:val="none"/>
      </w:rPr>
      <w:t xml:space="preserve">Page </w:t>
    </w:r>
    <w:r>
      <w:rPr>
        <w:rFonts w:ascii="Times New Roman" w:eastAsia="Times New Roman" w:hAnsi="Times New Roman" w:cs="Times New Roman"/>
        <w:b/>
        <w:i w:val="0"/>
        <w:color w:val="000000"/>
        <w:sz w:val="24"/>
        <w:u w:val="none"/>
      </w:rPr>
      <w:fldChar w:fldCharType="begin"/>
    </w:r>
    <w:r>
      <w:rPr>
        <w:rFonts w:ascii="Times New Roman" w:eastAsia="Times New Roman" w:hAnsi="Times New Roman" w:cs="Times New Roman"/>
        <w:b/>
        <w:i w:val="0"/>
        <w:color w:val="000000"/>
        <w:sz w:val="24"/>
        <w:u w:val="none"/>
      </w:rPr>
      <w:instrText xml:space="preserve"> PAGE </w:instrText>
    </w:r>
    <w:r>
      <w:rPr>
        <w:rFonts w:ascii="Times New Roman" w:eastAsia="Times New Roman" w:hAnsi="Times New Roman" w:cs="Times New Roman"/>
        <w:b/>
        <w:i w:val="0"/>
        <w:color w:val="000000"/>
        <w:sz w:val="24"/>
        <w:u w:val="none"/>
      </w:rPr>
      <w:fldChar w:fldCharType="separate"/>
    </w:r>
    <w:r>
      <w:rPr>
        <w:rFonts w:ascii="Times New Roman" w:eastAsia="Times New Roman" w:hAnsi="Times New Roman" w:cs="Times New Roman"/>
        <w:b/>
        <w:i w:val="0"/>
        <w:color w:val="000000"/>
        <w:sz w:val="24"/>
        <w:u w:val="none"/>
      </w:rPr>
      <w:t>2</w:t>
    </w:r>
    <w:r>
      <w:rPr>
        <w:rFonts w:ascii="Times New Roman" w:eastAsia="Times New Roman" w:hAnsi="Times New Roman" w:cs="Times New Roman"/>
        <w:b/>
        <w:i w:val="0"/>
        <w:color w:val="000000"/>
        <w:sz w:val="24"/>
        <w:u w:val="none"/>
      </w:rPr>
      <w:fldChar w:fldCharType="end"/>
    </w:r>
    <w:r>
      <w:rPr>
        <w:rFonts w:ascii="Times New Roman" w:eastAsia="Times New Roman" w:hAnsi="Times New Roman" w:cs="Times New Roman"/>
        <w:b/>
        <w:i w:val="0"/>
        <w:color w:val="000000"/>
        <w:sz w:val="24"/>
        <w:u w:val="none"/>
      </w:rPr>
      <w:t xml:space="preserve"> of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noLeading/>
    <w:suppressTopSpacingWP/>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hyperlink" Target="mailto:GUD_Compliance@rrc.texas.gov" TargetMode="Externa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EB0516098A4EA687651054688B86" ma:contentTypeVersion="3" ma:contentTypeDescription="Create a new document." ma:contentTypeScope="" ma:versionID="3fd8b174609b8db5d814b2188b03825e">
  <xsd:schema xmlns:xsd="http://www.w3.org/2001/XMLSchema" xmlns:xs="http://www.w3.org/2001/XMLSchema" xmlns:p="http://schemas.microsoft.com/office/2006/metadata/properties" xmlns:ns2="f0c4d911-024b-4b5c-bd42-5bf7635b8013" targetNamespace="http://schemas.microsoft.com/office/2006/metadata/properties" ma:root="true" ma:fieldsID="33d9cd95c648ac7c17941b3b732e8e14" ns2:_="">
    <xsd:import namespace="f0c4d911-024b-4b5c-bd42-5bf7635b801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4d911-024b-4b5c-bd42-5bf7635b8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C5A42B-A845-4B57-A11F-42750C01A930}"/>
</file>

<file path=customXml/itemProps2.xml><?xml version="1.0" encoding="utf-8"?>
<ds:datastoreItem xmlns:ds="http://schemas.openxmlformats.org/officeDocument/2006/customXml" ds:itemID="{7116C084-A512-47E8-B0F7-9F28799095C5}"/>
</file>

<file path=customXml/itemProps3.xml><?xml version="1.0" encoding="utf-8"?>
<ds:datastoreItem xmlns:ds="http://schemas.openxmlformats.org/officeDocument/2006/customXml" ds:itemID="{AF214C03-144B-4D08-80C8-AD00F8C4C57A}"/>
</file>

<file path=docProps/app.xml><?xml version="1.0" encoding="utf-8"?>
<Properties xmlns="http://schemas.openxmlformats.org/officeDocument/2006/extended-properties" xmlns:vt="http://schemas.openxmlformats.org/officeDocument/2006/docPropsVTypes">
  <Template>Normal.dot</Template>
  <TotalTime>0</TotalTime>
  <Pages>2</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RCE-Rider-RGV-OS_ Proposed</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0x0101002583EB0516098A4EA687651054688B86</vt:lpwstr>
  </property>
</Properties>
</file>