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5.3.0 -->
  <w:body>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bookmarkStart w:id="0" w:name="Section1"/>
      <w:bookmarkEnd w:id="0"/>
    </w:p>
    <w:p w:rsidR="00A77B3E">
      <w:pPr>
        <w:keepNext w:val="0"/>
        <w:keepLines w:val="0"/>
        <w:pageBreakBefore w:val="0"/>
        <w:widowControl/>
        <w:numPr>
          <w:ilvl w:val="0"/>
          <w:numId w:val="0"/>
        </w:numPr>
        <w:spacing w:before="0" w:after="0" w:line="288" w:lineRule="auto"/>
        <w:ind w:left="0" w:right="0" w:firstLine="0"/>
        <w:jc w:val="center"/>
        <w:outlineLvl w:val="0"/>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none"/>
        </w:rPr>
        <w:t>PIPELINE INTEGRITY TESTING (PIT) RIDER</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single"/>
        </w:rPr>
        <w:t>PURPOSE</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The purpose of this Pipeline Integrity Testing Rider is to promote the public interest in pipeline safety by enabling Texas Gas Service Company, a Division of ONE Gas, Inc. ("TGS" or the “Company”) to recover the reasonable and necessary Pipeline Integrity Safety Testing expenses incurred by the Company during the prior year (including contractor costs but excluding the labor cost of TGS employees</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  These legally mandated operating and maintenance expenses shall be recovered through a separate monthly volumetric charge (the Pipeline Integrity Testing or “PIT” Surcharge) that shall be shown as a separate line item on the customer’s monthly bill and calculated for each customer class as described below.  Capital expenditures associated with the Pipeline Integrity Program shall continue to be recovered through base rates and any interim rate adjustments implemented pursuant to Section 104.301 of the Gas Utility Regulatory Act.</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single"/>
        </w:rPr>
        <w:t>APPLICABILITY</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This Rider shall be applied to all gas sales and transportation customers within the service territory designated below, except special contract customers.</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single"/>
        </w:rPr>
        <w:t>TERRITORY</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 xml:space="preserve">This Rider shall apply to the following gas sales and standard transportation rate schedules of the Company's West-North Service Area (“WNSA”) within the incorporated and </w:t>
      </w:r>
      <w:r>
        <w:rPr>
          <w:rFonts w:ascii="Times New Roman" w:eastAsia="Times New Roman" w:hAnsi="Times New Roman" w:cs="Times New Roman"/>
          <w:b w:val="0"/>
          <w:i w:val="0"/>
          <w:color w:val="000000"/>
          <w:sz w:val="22"/>
          <w:u w:val="none"/>
        </w:rPr>
        <w:t>environs</w:t>
      </w:r>
      <w:r>
        <w:rPr>
          <w:rFonts w:ascii="Times New Roman" w:eastAsia="Times New Roman" w:hAnsi="Times New Roman" w:cs="Times New Roman"/>
          <w:b w:val="0"/>
          <w:i w:val="0"/>
          <w:color w:val="000000"/>
          <w:sz w:val="22"/>
          <w:u w:val="none"/>
        </w:rPr>
        <w:t xml:space="preserve"> areas of Aledo, Andrews, Anthony, Barstow, Borger, Breckenridge, Bryson, Clint, Crane, Dell City, El Paso, Graford, Graham, Horizon City, Hudson Oaks, Jacksboro, McCamey, Millsap, Mineral Wells, Monahans, Pecos, Pyote, San Elizario, Skellytown, Socorro, Thorntonville, Vinton, Weatherford, Wickett, Willow Park and Wink, Texas</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 xml:space="preserve"> and in the </w:t>
      </w:r>
      <w:r>
        <w:rPr>
          <w:rFonts w:ascii="Times New Roman" w:eastAsia="Times New Roman" w:hAnsi="Times New Roman" w:cs="Times New Roman"/>
          <w:b w:val="0"/>
          <w:i w:val="0"/>
          <w:color w:val="000000"/>
          <w:sz w:val="22"/>
          <w:u w:val="none"/>
        </w:rPr>
        <w:t>unincorporated</w:t>
      </w:r>
      <w:r>
        <w:rPr>
          <w:rFonts w:ascii="Times New Roman" w:eastAsia="Times New Roman" w:hAnsi="Times New Roman" w:cs="Times New Roman"/>
          <w:b w:val="0"/>
          <w:i w:val="0"/>
          <w:color w:val="000000"/>
          <w:sz w:val="22"/>
          <w:u w:val="none"/>
        </w:rPr>
        <w:t xml:space="preserve"> areas of Canutillo, Fabens, Jermyn, Palo Pinto, Perrin, Possum Kingdom, Punkin Center and Whitt, Texas: </w:t>
      </w:r>
      <w:r>
        <w:rPr>
          <w:rFonts w:ascii="Times New Roman" w:eastAsia="Times New Roman" w:hAnsi="Times New Roman" w:cs="Times New Roman"/>
          <w:b w:val="0"/>
          <w:i w:val="0"/>
          <w:color w:val="000000"/>
          <w:sz w:val="22"/>
          <w:u w:val="none"/>
        </w:rPr>
        <w:t>Rate Sc</w:t>
      </w:r>
      <w:r>
        <w:rPr>
          <w:rFonts w:ascii="Times New Roman" w:eastAsia="Times New Roman" w:hAnsi="Times New Roman" w:cs="Times New Roman"/>
          <w:b w:val="0"/>
          <w:i w:val="0"/>
          <w:color w:val="000000"/>
          <w:sz w:val="22"/>
          <w:u w:val="none"/>
        </w:rPr>
        <w:t xml:space="preserve">hedules </w:t>
      </w:r>
      <w:r>
        <w:rPr>
          <w:rFonts w:ascii="Times New Roman" w:eastAsia="Times New Roman" w:hAnsi="Times New Roman" w:cs="Times New Roman"/>
          <w:b w:val="0"/>
          <w:i w:val="0"/>
          <w:color w:val="000000"/>
          <w:sz w:val="22"/>
          <w:u w:val="none"/>
        </w:rPr>
        <w:t>10, 15, 16</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 xml:space="preserve"> 20, 25, 30, 40, </w:t>
      </w:r>
      <w:r>
        <w:rPr>
          <w:rFonts w:ascii="Times New Roman" w:eastAsia="Times New Roman" w:hAnsi="Times New Roman" w:cs="Times New Roman"/>
          <w:b w:val="0"/>
          <w:i w:val="0"/>
          <w:color w:val="000000"/>
          <w:sz w:val="22"/>
          <w:u w:val="none"/>
        </w:rPr>
        <w:t xml:space="preserve">CNG-1, 1Z, 1Y, 1W, 2Z, 2Y, 3Z, 4Z, </w:t>
      </w:r>
      <w:r>
        <w:rPr>
          <w:rFonts w:ascii="Times New Roman" w:eastAsia="Times New Roman" w:hAnsi="Times New Roman" w:cs="Times New Roman"/>
          <w:b w:val="0"/>
          <w:i w:val="0"/>
          <w:color w:val="000000"/>
          <w:sz w:val="22"/>
          <w:u w:val="none"/>
        </w:rPr>
        <w:t>CNG-1-ENV, T-1, T-EGEN, T-1-ENV and T-EGEN-ENV</w:t>
      </w:r>
      <w:r>
        <w:rPr>
          <w:rFonts w:ascii="Times New Roman" w:eastAsia="Times New Roman" w:hAnsi="Times New Roman" w:cs="Times New Roman"/>
          <w:b w:val="0"/>
          <w:i w:val="0"/>
          <w:color w:val="000000"/>
          <w:sz w:val="22"/>
          <w:u w:val="none"/>
        </w:rPr>
        <w:t>.</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single"/>
        </w:rPr>
        <w:t>QUALIFYING EXPENSES</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This Rider applies only to the legally mandated safety testing of the Company’s transmission lines in the WNSA under the Pipeline Integrity Safety Testing Program.  The operating and maintenance expense items that qualify for recovery under this Rider shall include the contractor costs associated with land and leak survey, permitting, and job order preparation and completion; the clearing of right-of-way; any needed notifications to adjacent businesses and residences; traffic control equipment and personnel; Direct Current Voltage Gradient (“DCVG”), Close Interval (“CI”), and other surveys to ensure the integrity of the pipeline system; any required rigid bypasses; flushing of the lines and testing and disposal of the flush water; hydrostatic testing of the lines and analysis and disposal of the test water; any required “pigging” of the lines in connection with safety testing; any required x-ray welding; metallurgical testing of the pipeline or components thereof; site restoration, painting, and clean-up; expenses associated with providing a supply of compressed natural gas (“CNG”) to ensure uninterrupted service to customers during testing;</w:t>
      </w:r>
    </w:p>
    <w:p w:rsidR="00A77B3E">
      <w:pPr>
        <w:keepNext w:val="0"/>
        <w:keepLines w:val="0"/>
        <w:pageBreakBefore/>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none"/>
        </w:rPr>
        <w:t>PIPELINE INTEGRITY TESTING (PIT) RIDER</w:t>
      </w:r>
      <w:r>
        <w:rPr>
          <w:rFonts w:ascii="Times New Roman" w:eastAsia="Times New Roman" w:hAnsi="Times New Roman" w:cs="Times New Roman"/>
          <w:b/>
          <w:i w:val="0"/>
          <w:color w:val="000000"/>
          <w:sz w:val="22"/>
          <w:u w:val="none"/>
        </w:rPr>
        <w:t xml:space="preserve"> </w:t>
      </w:r>
      <w:r>
        <w:rPr>
          <w:rFonts w:ascii="Times New Roman" w:eastAsia="Times New Roman" w:hAnsi="Times New Roman" w:cs="Times New Roman"/>
          <w:b/>
          <w:i w:val="0"/>
          <w:color w:val="000000"/>
          <w:sz w:val="22"/>
          <w:u w:val="none"/>
        </w:rPr>
        <w:t>(Continued)</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and any other operating and maintenance expenses reasonably necessary to safely and effectively perform required safety testing of the Company’s pipelines in the WNSA.  Neither capital expenditures by the Company, nor the labor cost of TGS employees, shall be recovered under this Rider.</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single"/>
        </w:rPr>
        <w:t>CALCULATION OF PIT SURCHARGES</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The Pipeline Integrity Testing Surcharges established under this Rider shall be designed so as to recover the Total Testing Expense incurred in the prior year for Pipeline Integrity Safety Testing, and shall be calculated as follows:</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The Total Annual Testing Expense shall be divided by the estimated average annual usage to produce the annual PIT Surcharge.</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PIT Surcharge</w:t>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single"/>
        </w:rPr>
        <w:t>Total Annual Testing Expense</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Estimated Annual Usage</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Based upon customer data for the prior calendar year and any other relevant factors, the estimated annual usage may be revised annually to account for customer growth, and the resulting revised PIT Surcharge shall be applied to each class for the ensuing 12-month recovery period.</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single"/>
        </w:rPr>
        <w:t>ANNUAL RECONCILIATION</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After completion of each annual recovery period, the total revenues collected under this Rider for that year shall be reconciled against the revenues previously calculated to be collected for that year, and the PIT Surcharge for each class shall be adjusted upward or downward so that the Company recovers any underrecoveries or refunds any overrecoveries that may have accrued under the Rider, plus monthly interest on those underrecoveries or overrecoveries at the cost of long-term debt approved in the Company’s most recent general rate case in which rates were set for application to customers in the WNSA.  The reconciliation shall be filed with the regulatory authority on or before February 21st of each year, and the regulatory authority shall complete its review of the reconciliation on or before March 21st of each year, so that the Company can implement the reconciled PIT Surcharges beginning with the first billing cycle for April of each succeeding year.</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single"/>
        </w:rPr>
        <w:t>DEFERRED ACCOUNTING</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The Company is authorized and directed to defer, as a regulatory asset, all Pipeline Integrity Safety Testing expenses incurred during the testing cycle starting on January 1, 2016 and all revenues specifically collected under this Rider shall be applied to the deferred expense account.  The Company shall not earn a return on any regulatory asset created under this provision, and no such regulatory asset shall be included in the Company’s invested capital (rate base) for ratemaking purposes.</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sz w:val="24"/>
        </w:rPr>
      </w:pPr>
    </w:p>
    <w:p w:rsidR="00A77B3E">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none"/>
        </w:rPr>
        <w:t>PIPELINE INTEGRITY TESTING (PIT) RIDER</w:t>
      </w:r>
      <w:r>
        <w:rPr>
          <w:rFonts w:ascii="Times New Roman" w:eastAsia="Times New Roman" w:hAnsi="Times New Roman" w:cs="Times New Roman"/>
          <w:b/>
          <w:i w:val="0"/>
          <w:color w:val="000000"/>
          <w:sz w:val="22"/>
          <w:u w:val="none"/>
        </w:rPr>
        <w:t xml:space="preserve"> </w:t>
      </w:r>
      <w:r>
        <w:rPr>
          <w:rFonts w:ascii="Times New Roman" w:eastAsia="Times New Roman" w:hAnsi="Times New Roman" w:cs="Times New Roman"/>
          <w:b/>
          <w:i w:val="0"/>
          <w:color w:val="000000"/>
          <w:sz w:val="22"/>
          <w:u w:val="none"/>
        </w:rPr>
        <w:t>(Continued)</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single"/>
        </w:rPr>
        <w:t>ANNUAL REPORT &amp; APPLICABLE PSCC</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On or before February 21st after each calendar year, the Company shall file a report with the Commission and the WNSA Cities showing all Pipeline Integrity Safety Testing expenses incurred during the previous calendar year and verifying the prior year’s collections and any underrecoveries or overrecoveries accruing to date under this Rider.  The report shall separately identify and list such expenses by account number and project number.  Prior to the effective date of this Rider and on or before February 21st of each succeeding year while this Rider is in effect, the Company shall also file an Addendum to this Rider with the Commission and the WNSA Cities (a) identifying the PIT Surcharges that will be applied during the ensuing 12-month recovery period from April 1st through March 31st, and (b) providing the underlying data and calculations on which each PIT Surcharge for that period is based.</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The Company shall file the report with the Commission electronically at GUD_Compliance@rrc.texas.gov or at the following address:</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Director of Oversight and Safety Division</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Gas Services Department</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Railroad Commission of Texas</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P.O. Box 12967</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Austin, TX 78711-2967</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single"/>
        </w:rPr>
        <w:t>NOTICE TO AFFECTED CUSTOMERS</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In addition to the annual report and Addendum to this Rider required above, the Company shall provide, on or before March 31st after each calendar year, written notice to each affected customer of (a) the PIT Surcharge that will be applied during the ensuing 12-month period from April 1st through March 31st, and (b) the effect the PIT Surcharge is expected to have on the average monthly bill for each affected customer class.  The written notice shall be provided in both English and Spanish, shall be the only information contained on the piece of paper on which it is printed, and may be provided either by separate mailing or by insert included with the Company’s monthly billing statements, including electronic billing statements.  The Company shall also electronically file an affidavit annually with the Commission and the WNSA Cities certifying that notice has been provided to customers in this manner. The notice shall be presumed to be complete three calendar days after the date the separate mailing or billing statement is deposited in a postage-paid, properly addressed wrapper in a post office or official depository under care of the United States Postal Service.  The initial notice shall be filed with, reviewed, and approved by the regulatory authority, and each subsequent notice shall follow the same format as that of the approved initial notice.</w:t>
      </w:r>
    </w:p>
    <w:sectPr>
      <w:headerReference w:type="default" r:id="rId4"/>
      <w:footerReference w:type="default" r:id="rId5"/>
      <w:type w:val="continuous"/>
      <w:pgSz w:w="12240" w:h="15840"/>
      <w:pgMar w:top="1440" w:right="1080" w:bottom="2700" w:left="108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left" w:pos="720"/>
        <w:tab w:val="left" w:pos="6040"/>
      </w:tabs>
      <w:spacing w:before="0" w:after="0" w:line="288" w:lineRule="auto"/>
      <w:ind w:left="0" w:right="432" w:firstLine="0"/>
      <w:jc w:val="left"/>
      <w:outlineLvl w:val="0"/>
      <w:rPr>
        <w:rFonts w:ascii="Times New Roman" w:eastAsia="Times New Roman" w:hAnsi="Times New Roman" w:cs="Times New Roman"/>
        <w:b w:val="0"/>
        <w:i w:val="0"/>
        <w:color w:val="000000"/>
        <w:sz w:val="24"/>
        <w:u w:val="none"/>
      </w:rPr>
    </w:pPr>
    <w:r>
      <w:rPr>
        <w:rFonts w:ascii="Times New Roman" w:eastAsia="Times New Roman" w:hAnsi="Times New Roman" w:cs="Times New Roman"/>
        <w:b w:val="0"/>
        <w:i w:val="0"/>
        <w:color w:val="000000"/>
        <w:sz w:val="20"/>
        <w:u w:val="single"/>
      </w:rPr>
      <w:t>Supersedes Rate Schedule Dated</w:t>
    </w: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single"/>
      </w:rPr>
      <w:t>Meters Read On and After</w:t>
    </w:r>
  </w:p>
  <w:p>
    <w:pPr>
      <w:keepNext w:val="0"/>
      <w:keepLines w:val="0"/>
      <w:pageBreakBefore w:val="0"/>
      <w:widowControl/>
      <w:numPr>
        <w:ilvl w:val="0"/>
        <w:numId w:val="0"/>
      </w:numPr>
      <w:tabs>
        <w:tab w:val="left" w:pos="6040"/>
      </w:tabs>
      <w:spacing w:before="0" w:after="0" w:line="288" w:lineRule="auto"/>
      <w:ind w:left="0" w:right="0" w:firstLine="0"/>
      <w:jc w:val="left"/>
      <w:outlineLvl w:val="0"/>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single"/>
      </w:rPr>
      <w:t>January 27, 2023</w:t>
    </w:r>
    <w:r>
      <w:rPr>
        <w:rFonts w:ascii="Times New Roman" w:eastAsia="Times New Roman" w:hAnsi="Times New Roman" w:cs="Times New Roman"/>
        <w:b w:val="0"/>
        <w:i w:val="0"/>
        <w:color w:val="000000"/>
        <w:sz w:val="20"/>
        <w:u w:val="none"/>
      </w:rPr>
      <w:t xml:space="preserve"> (All West-North Areas Except</w:t>
    </w: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TBD</w:t>
    </w:r>
  </w:p>
  <w:p>
    <w:pPr>
      <w:keepNext w:val="0"/>
      <w:keepLines w:val="0"/>
      <w:pageBreakBefore w:val="0"/>
      <w:widowControl/>
      <w:numPr>
        <w:ilvl w:val="0"/>
        <w:numId w:val="0"/>
      </w:numPr>
      <w:tabs>
        <w:tab w:val="left" w:pos="6040"/>
      </w:tabs>
      <w:spacing w:before="0" w:after="0" w:line="288" w:lineRule="auto"/>
      <w:ind w:left="0" w:right="0" w:firstLine="0"/>
      <w:jc w:val="left"/>
      <w:outlineLvl w:val="0"/>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Incorporated Aledo, Breckenridge, Bryson, Graford,</w:t>
    </w:r>
  </w:p>
  <w:p>
    <w:pPr>
      <w:keepNext w:val="0"/>
      <w:keepLines w:val="0"/>
      <w:pageBreakBefore w:val="0"/>
      <w:widowControl/>
      <w:numPr>
        <w:ilvl w:val="0"/>
        <w:numId w:val="0"/>
      </w:numPr>
      <w:tabs>
        <w:tab w:val="left" w:pos="6040"/>
      </w:tabs>
      <w:spacing w:before="0" w:after="0" w:line="288" w:lineRule="auto"/>
      <w:ind w:left="0" w:right="0" w:firstLine="0"/>
      <w:jc w:val="left"/>
      <w:outlineLvl w:val="0"/>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Graham, Hudson Oaks, Jacksboro, Millsap, Mineral</w:t>
    </w:r>
  </w:p>
  <w:p>
    <w:pPr>
      <w:keepNext w:val="0"/>
      <w:keepLines w:val="0"/>
      <w:pageBreakBefore w:val="0"/>
      <w:widowControl/>
      <w:numPr>
        <w:ilvl w:val="0"/>
        <w:numId w:val="0"/>
      </w:numPr>
      <w:tabs>
        <w:tab w:val="left" w:pos="6040"/>
      </w:tabs>
      <w:spacing w:before="0" w:after="0" w:line="288" w:lineRule="auto"/>
      <w:ind w:left="0" w:right="0" w:firstLine="0"/>
      <w:jc w:val="left"/>
      <w:outlineLvl w:val="0"/>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Wells, Weatherford and Willow Park)</w:t>
    </w:r>
  </w:p>
  <w:p>
    <w:pPr>
      <w:keepNext w:val="0"/>
      <w:keepLines w:val="0"/>
      <w:pageBreakBefore w:val="0"/>
      <w:widowControl/>
      <w:numPr>
        <w:ilvl w:val="0"/>
        <w:numId w:val="0"/>
      </w:numPr>
      <w:tabs>
        <w:tab w:val="left" w:pos="6040"/>
      </w:tabs>
      <w:spacing w:before="0" w:after="0" w:line="288" w:lineRule="auto"/>
      <w:ind w:left="0" w:right="0" w:firstLine="0"/>
      <w:jc w:val="left"/>
      <w:outlineLvl w:val="0"/>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single"/>
      </w:rPr>
      <w:t>February 27, 2023</w:t>
    </w:r>
    <w:r>
      <w:rPr>
        <w:rFonts w:ascii="Times New Roman" w:eastAsia="Times New Roman" w:hAnsi="Times New Roman" w:cs="Times New Roman"/>
        <w:b w:val="0"/>
        <w:i w:val="0"/>
        <w:color w:val="000000"/>
        <w:sz w:val="20"/>
        <w:u w:val="none"/>
      </w:rPr>
      <w:t xml:space="preserve"> (Incorporated Aledo, Breckenridge,</w:t>
    </w:r>
  </w:p>
  <w:p>
    <w:pPr>
      <w:keepNext w:val="0"/>
      <w:keepLines w:val="0"/>
      <w:pageBreakBefore w:val="0"/>
      <w:widowControl/>
      <w:numPr>
        <w:ilvl w:val="0"/>
        <w:numId w:val="0"/>
      </w:numPr>
      <w:tabs>
        <w:tab w:val="left" w:pos="6040"/>
      </w:tabs>
      <w:spacing w:before="0" w:after="0" w:line="288" w:lineRule="auto"/>
      <w:ind w:left="0" w:right="0" w:firstLine="0"/>
      <w:jc w:val="left"/>
      <w:outlineLvl w:val="0"/>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Bryson, Graford, Graham, Hudson Oaks, Jacksboro,</w:t>
    </w:r>
  </w:p>
  <w:p>
    <w:pPr>
      <w:keepNext w:val="0"/>
      <w:keepLines w:val="0"/>
      <w:pageBreakBefore w:val="0"/>
      <w:widowControl/>
      <w:numPr>
        <w:ilvl w:val="0"/>
        <w:numId w:val="0"/>
      </w:numPr>
      <w:tabs>
        <w:tab w:val="left" w:pos="6040"/>
      </w:tabs>
      <w:spacing w:before="0" w:after="0" w:line="288" w:lineRule="auto"/>
      <w:ind w:left="0" w:right="0" w:firstLine="0"/>
      <w:jc w:val="left"/>
      <w:outlineLvl w:val="0"/>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Millsap, Mineral Wells, Weatherford and Willow</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Park)</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0"/>
      <w:jc w:val="left"/>
      <w:outlineLvl w:val="0"/>
      <w:rPr>
        <w:rFonts w:ascii="Times New Roman" w:eastAsia="Times New Roman" w:hAnsi="Times New Roman" w:cs="Times New Roman"/>
        <w:b w:val="0"/>
        <w:i w:val="0"/>
        <w:color w:val="000000"/>
        <w:sz w:val="24"/>
        <w:u w:val="none"/>
      </w:rPr>
    </w:pPr>
    <w:r>
      <w:rPr>
        <w:rFonts w:ascii="Times New Roman" w:eastAsia="Times New Roman" w:hAnsi="Times New Roman" w:cs="Times New Roman"/>
        <w:b/>
        <w:i w:val="0"/>
        <w:color w:val="000000"/>
        <w:sz w:val="26"/>
        <w:u w:val="none"/>
      </w:rPr>
      <w:t>Texas Gas Service Company, a Division of ONE Gas, Inc.</w:t>
    </w:r>
    <w:r>
      <w:rPr>
        <w:rFonts w:ascii="Times New Roman" w:eastAsia="Times New Roman" w:hAnsi="Times New Roman" w:cs="Times New Roman"/>
        <w:b/>
        <w:i w:val="0"/>
        <w:color w:val="000000"/>
        <w:sz w:val="26"/>
        <w:u w:val="none"/>
      </w:rPr>
      <w:tab/>
    </w:r>
    <w:r>
      <w:rPr>
        <w:rFonts w:ascii="Times New Roman" w:eastAsia="Times New Roman" w:hAnsi="Times New Roman" w:cs="Times New Roman"/>
        <w:b/>
        <w:i w:val="0"/>
        <w:color w:val="000000"/>
        <w:sz w:val="26"/>
        <w:u w:val="none"/>
      </w:rPr>
      <w:tab/>
    </w:r>
    <w:r>
      <w:rPr>
        <w:rFonts w:ascii="Times New Roman" w:eastAsia="Times New Roman" w:hAnsi="Times New Roman" w:cs="Times New Roman"/>
        <w:b/>
        <w:i w:val="0"/>
        <w:color w:val="000000"/>
        <w:sz w:val="26"/>
        <w:u w:val="none"/>
      </w:rPr>
      <w:t>RATE SCHEDULE PIT</w:t>
    </w:r>
  </w:p>
  <w:p>
    <w:pPr>
      <w:keepNext w:val="0"/>
      <w:keepLines w:val="0"/>
      <w:pageBreakBefore w:val="0"/>
      <w:widowControl/>
      <w:numPr>
        <w:ilvl w:val="0"/>
        <w:numId w:val="0"/>
      </w:numPr>
      <w:spacing w:before="0" w:after="0" w:line="288" w:lineRule="auto"/>
      <w:ind w:left="0" w:right="0" w:firstLine="0"/>
      <w:jc w:val="left"/>
      <w:outlineLvl w:val="0"/>
      <w:rPr>
        <w:rFonts w:ascii="Times New Roman" w:eastAsia="Times New Roman" w:hAnsi="Times New Roman" w:cs="Times New Roman"/>
        <w:b w:val="0"/>
        <w:i w:val="0"/>
        <w:color w:val="000000"/>
        <w:sz w:val="24"/>
        <w:u w:val="none"/>
      </w:rPr>
    </w:pPr>
    <w:r>
      <w:rPr>
        <w:rFonts w:ascii="Times New Roman" w:eastAsia="Times New Roman" w:hAnsi="Times New Roman" w:cs="Times New Roman"/>
        <w:b/>
        <w:i w:val="0"/>
        <w:color w:val="000000"/>
        <w:sz w:val="26"/>
        <w:u w:val="none"/>
      </w:rPr>
      <w:t>West-North Service Area</w:t>
    </w:r>
    <w:r>
      <w:rPr>
        <w:rFonts w:ascii="Times New Roman" w:eastAsia="Times New Roman" w:hAnsi="Times New Roman" w:cs="Times New Roman"/>
        <w:b/>
        <w:i w:val="0"/>
        <w:color w:val="000000"/>
        <w:sz w:val="26"/>
        <w:u w:val="none"/>
      </w:rPr>
      <w:tab/>
    </w:r>
    <w:r>
      <w:rPr>
        <w:rFonts w:ascii="Times New Roman" w:eastAsia="Times New Roman" w:hAnsi="Times New Roman" w:cs="Times New Roman"/>
        <w:b/>
        <w:i w:val="0"/>
        <w:color w:val="000000"/>
        <w:sz w:val="26"/>
        <w:u w:val="none"/>
      </w:rPr>
      <w:tab/>
    </w:r>
    <w:r>
      <w:rPr>
        <w:rFonts w:ascii="Times New Roman" w:eastAsia="Times New Roman" w:hAnsi="Times New Roman" w:cs="Times New Roman"/>
        <w:b/>
        <w:i w:val="0"/>
        <w:color w:val="000000"/>
        <w:sz w:val="26"/>
        <w:u w:val="none"/>
      </w:rPr>
      <w:tab/>
    </w:r>
    <w:r>
      <w:rPr>
        <w:rFonts w:ascii="Times New Roman" w:eastAsia="Times New Roman" w:hAnsi="Times New Roman" w:cs="Times New Roman"/>
        <w:b/>
        <w:i w:val="0"/>
        <w:color w:val="000000"/>
        <w:sz w:val="26"/>
        <w:u w:val="none"/>
      </w:rPr>
      <w:tab/>
    </w:r>
    <w:r>
      <w:rPr>
        <w:rFonts w:ascii="Times New Roman" w:eastAsia="Times New Roman" w:hAnsi="Times New Roman" w:cs="Times New Roman"/>
        <w:b/>
        <w:i w:val="0"/>
        <w:color w:val="000000"/>
        <w:sz w:val="26"/>
        <w:u w:val="none"/>
      </w:rPr>
      <w:tab/>
    </w:r>
    <w:r>
      <w:rPr>
        <w:rFonts w:ascii="Times New Roman" w:eastAsia="Times New Roman" w:hAnsi="Times New Roman" w:cs="Times New Roman"/>
        <w:b/>
        <w:i w:val="0"/>
        <w:color w:val="000000"/>
        <w:sz w:val="26"/>
        <w:u w:val="none"/>
      </w:rPr>
      <w:tab/>
    </w:r>
    <w:r>
      <w:rPr>
        <w:rFonts w:ascii="Times New Roman" w:eastAsia="Times New Roman" w:hAnsi="Times New Roman" w:cs="Times New Roman"/>
        <w:b/>
        <w:i w:val="0"/>
        <w:color w:val="000000"/>
        <w:sz w:val="26"/>
        <w:u w:val="none"/>
      </w:rPr>
      <w:tab/>
    </w:r>
    <w:r>
      <w:rPr>
        <w:rFonts w:ascii="Times New Roman" w:eastAsia="Times New Roman" w:hAnsi="Times New Roman" w:cs="Times New Roman"/>
        <w:b/>
        <w:i w:val="0"/>
        <w:color w:val="000000"/>
        <w:sz w:val="26"/>
        <w:u w:val="none"/>
      </w:rPr>
      <w:t xml:space="preserve">Page </w:t>
    </w:r>
    <w:r>
      <w:rPr>
        <w:rFonts w:ascii="Times New Roman" w:eastAsia="Times New Roman" w:hAnsi="Times New Roman" w:cs="Times New Roman"/>
        <w:b/>
        <w:i w:val="0"/>
        <w:color w:val="000000"/>
        <w:sz w:val="26"/>
        <w:u w:val="none"/>
      </w:rPr>
      <w:fldChar w:fldCharType="begin"/>
    </w:r>
    <w:r>
      <w:rPr>
        <w:rFonts w:ascii="Times New Roman" w:eastAsia="Times New Roman" w:hAnsi="Times New Roman" w:cs="Times New Roman"/>
        <w:b/>
        <w:i w:val="0"/>
        <w:color w:val="000000"/>
        <w:sz w:val="26"/>
        <w:u w:val="none"/>
      </w:rPr>
      <w:instrText xml:space="preserve"> PAGE </w:instrText>
    </w:r>
    <w:r>
      <w:rPr>
        <w:rFonts w:ascii="Times New Roman" w:eastAsia="Times New Roman" w:hAnsi="Times New Roman" w:cs="Times New Roman"/>
        <w:b/>
        <w:i w:val="0"/>
        <w:color w:val="000000"/>
        <w:sz w:val="26"/>
        <w:u w:val="none"/>
      </w:rPr>
      <w:fldChar w:fldCharType="separate"/>
    </w:r>
    <w:r>
      <w:rPr>
        <w:rFonts w:ascii="Times New Roman" w:eastAsia="Times New Roman" w:hAnsi="Times New Roman" w:cs="Times New Roman"/>
        <w:b/>
        <w:i w:val="0"/>
        <w:color w:val="000000"/>
        <w:sz w:val="26"/>
        <w:u w:val="none"/>
      </w:rPr>
      <w:t>3</w:t>
    </w:r>
    <w:r>
      <w:rPr>
        <w:rFonts w:ascii="Times New Roman" w:eastAsia="Times New Roman" w:hAnsi="Times New Roman" w:cs="Times New Roman"/>
        <w:b/>
        <w:i w:val="0"/>
        <w:color w:val="000000"/>
        <w:sz w:val="26"/>
        <w:u w:val="none"/>
      </w:rPr>
      <w:fldChar w:fldCharType="end"/>
    </w:r>
    <w:r>
      <w:rPr>
        <w:rFonts w:ascii="Times New Roman" w:eastAsia="Times New Roman" w:hAnsi="Times New Roman" w:cs="Times New Roman"/>
        <w:b/>
        <w:i w:val="0"/>
        <w:color w:val="000000"/>
        <w:sz w:val="26"/>
        <w:u w:val="none"/>
      </w:rPr>
      <w:t xml:space="preserve"> of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noLeading/>
    <w:suppressTopSpacingWP/>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numbering" w:customStyle="1" w:styleId="outlinearabic">
    <w:name w:val="outline.arabic"/>
    <w:pPr>
      <w:numPr>
        <w:numId w:val="1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EB0516098A4EA687651054688B86" ma:contentTypeVersion="3" ma:contentTypeDescription="Create a new document." ma:contentTypeScope="" ma:versionID="3fd8b174609b8db5d814b2188b03825e">
  <xsd:schema xmlns:xsd="http://www.w3.org/2001/XMLSchema" xmlns:xs="http://www.w3.org/2001/XMLSchema" xmlns:p="http://schemas.microsoft.com/office/2006/metadata/properties" xmlns:ns2="f0c4d911-024b-4b5c-bd42-5bf7635b8013" targetNamespace="http://schemas.microsoft.com/office/2006/metadata/properties" ma:root="true" ma:fieldsID="33d9cd95c648ac7c17941b3b732e8e14" ns2:_="">
    <xsd:import namespace="f0c4d911-024b-4b5c-bd42-5bf7635b801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4d911-024b-4b5c-bd42-5bf7635b8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680122-C113-4830-9C48-91AFBB42E7C2}"/>
</file>

<file path=customXml/itemProps2.xml><?xml version="1.0" encoding="utf-8"?>
<ds:datastoreItem xmlns:ds="http://schemas.openxmlformats.org/officeDocument/2006/customXml" ds:itemID="{B7570DF9-8C3F-46FC-B5C8-53520D266DA7}"/>
</file>

<file path=customXml/itemProps3.xml><?xml version="1.0" encoding="utf-8"?>
<ds:datastoreItem xmlns:ds="http://schemas.openxmlformats.org/officeDocument/2006/customXml" ds:itemID="{19B358AD-AB5E-4AF3-A71E-968D9CCAD26E}"/>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PIT-WNSA-ISOS_ Proposed</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0x0101002583EB0516098A4EA687651054688B86</vt:lpwstr>
  </property>
</Properties>
</file>