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D6DC2" w14:textId="77777777" w:rsidR="00A77B3E" w:rsidRDefault="00A77B3E">
      <w:pPr>
        <w:spacing w:line="319" w:lineRule="auto"/>
        <w:rPr>
          <w:color w:val="000000"/>
          <w:sz w:val="22"/>
        </w:rPr>
      </w:pPr>
      <w:bookmarkStart w:id="0" w:name="Section1"/>
      <w:bookmarkEnd w:id="0"/>
    </w:p>
    <w:p w14:paraId="025895A7" w14:textId="77777777" w:rsidR="00A77B3E" w:rsidRDefault="0011706D">
      <w:pPr>
        <w:spacing w:line="288" w:lineRule="auto"/>
        <w:jc w:val="center"/>
        <w:outlineLvl w:val="0"/>
        <w:rPr>
          <w:color w:val="000000"/>
          <w:sz w:val="22"/>
        </w:rPr>
      </w:pPr>
      <w:r>
        <w:rPr>
          <w:b/>
          <w:color w:val="000000"/>
          <w:sz w:val="22"/>
        </w:rPr>
        <w:t>INDUSTRIAL SERVICE RATE</w:t>
      </w:r>
    </w:p>
    <w:p w14:paraId="1B71E9FB" w14:textId="77777777" w:rsidR="00A77B3E" w:rsidRDefault="00A77B3E">
      <w:pPr>
        <w:spacing w:line="288" w:lineRule="auto"/>
        <w:jc w:val="center"/>
        <w:rPr>
          <w:sz w:val="22"/>
        </w:rPr>
      </w:pPr>
    </w:p>
    <w:p w14:paraId="7C2A1281" w14:textId="77777777" w:rsidR="00A77B3E" w:rsidRDefault="0011706D">
      <w:pPr>
        <w:spacing w:line="288" w:lineRule="auto"/>
        <w:jc w:val="both"/>
        <w:rPr>
          <w:color w:val="000000"/>
          <w:sz w:val="22"/>
        </w:rPr>
      </w:pPr>
      <w:r>
        <w:rPr>
          <w:b/>
          <w:color w:val="000000"/>
          <w:sz w:val="22"/>
          <w:u w:val="single"/>
        </w:rPr>
        <w:t>APPLICABILITY</w:t>
      </w:r>
    </w:p>
    <w:p w14:paraId="7514EB47" w14:textId="77777777" w:rsidR="00A77B3E" w:rsidRDefault="00A77B3E">
      <w:pPr>
        <w:spacing w:line="288" w:lineRule="auto"/>
        <w:jc w:val="both"/>
        <w:rPr>
          <w:sz w:val="22"/>
        </w:rPr>
      </w:pPr>
    </w:p>
    <w:p w14:paraId="3E92EBEB" w14:textId="77777777" w:rsidR="00A77B3E" w:rsidRDefault="0011706D">
      <w:pPr>
        <w:spacing w:line="288" w:lineRule="auto"/>
        <w:jc w:val="both"/>
        <w:rPr>
          <w:color w:val="000000"/>
          <w:sz w:val="22"/>
        </w:rPr>
      </w:pPr>
      <w:r>
        <w:rPr>
          <w:color w:val="000000"/>
          <w:sz w:val="22"/>
        </w:rPr>
        <w:t xml:space="preserve">Applicable to any qualifying industrial customer whose primary business activity at the location served is included in one of the following classifications of the Standard Industrial Classification Manual of the </w:t>
      </w:r>
      <w:r>
        <w:rPr>
          <w:color w:val="000000"/>
          <w:sz w:val="22"/>
        </w:rPr>
        <w:t>U.S. Government.</w:t>
      </w:r>
    </w:p>
    <w:p w14:paraId="25716A38" w14:textId="77777777" w:rsidR="00A77B3E" w:rsidRDefault="00A77B3E">
      <w:pPr>
        <w:spacing w:line="288" w:lineRule="auto"/>
        <w:jc w:val="both"/>
        <w:rPr>
          <w:color w:val="000000"/>
          <w:sz w:val="22"/>
        </w:rPr>
      </w:pPr>
    </w:p>
    <w:p w14:paraId="0B04A3A3" w14:textId="77777777" w:rsidR="00A77B3E" w:rsidRDefault="0011706D">
      <w:pPr>
        <w:spacing w:line="288" w:lineRule="auto"/>
        <w:ind w:left="720"/>
        <w:jc w:val="both"/>
        <w:rPr>
          <w:color w:val="000000"/>
          <w:sz w:val="22"/>
        </w:rPr>
      </w:pPr>
      <w:r>
        <w:rPr>
          <w:color w:val="000000"/>
          <w:sz w:val="22"/>
        </w:rPr>
        <w:t>Division B - Mining - all Major Groups</w:t>
      </w:r>
    </w:p>
    <w:p w14:paraId="4C066E05" w14:textId="77777777" w:rsidR="00A77B3E" w:rsidRDefault="0011706D">
      <w:pPr>
        <w:spacing w:line="288" w:lineRule="auto"/>
        <w:ind w:left="720"/>
        <w:jc w:val="both"/>
        <w:rPr>
          <w:color w:val="000000"/>
          <w:sz w:val="22"/>
        </w:rPr>
      </w:pPr>
      <w:r>
        <w:rPr>
          <w:color w:val="000000"/>
          <w:sz w:val="22"/>
        </w:rPr>
        <w:t>Division D - Manufacturing - All Major Groups</w:t>
      </w:r>
    </w:p>
    <w:p w14:paraId="2DB78C6F" w14:textId="77777777" w:rsidR="00A77B3E" w:rsidRDefault="00A77B3E">
      <w:pPr>
        <w:spacing w:line="288" w:lineRule="auto"/>
        <w:ind w:left="720"/>
        <w:jc w:val="both"/>
        <w:rPr>
          <w:color w:val="000000"/>
          <w:sz w:val="22"/>
        </w:rPr>
      </w:pPr>
    </w:p>
    <w:p w14:paraId="75935743" w14:textId="77777777" w:rsidR="00A77B3E" w:rsidRDefault="0011706D">
      <w:pPr>
        <w:spacing w:line="288" w:lineRule="auto"/>
        <w:jc w:val="both"/>
        <w:rPr>
          <w:color w:val="000000"/>
          <w:sz w:val="22"/>
        </w:rPr>
      </w:pPr>
      <w:r>
        <w:rPr>
          <w:b/>
          <w:color w:val="000000"/>
          <w:sz w:val="22"/>
          <w:u w:val="single"/>
        </w:rPr>
        <w:t>TERRITORY</w:t>
      </w:r>
    </w:p>
    <w:p w14:paraId="3087967C" w14:textId="77777777" w:rsidR="00A77B3E" w:rsidRDefault="00A77B3E">
      <w:pPr>
        <w:spacing w:line="288" w:lineRule="auto"/>
        <w:jc w:val="both"/>
        <w:rPr>
          <w:color w:val="000000"/>
          <w:sz w:val="22"/>
        </w:rPr>
      </w:pPr>
    </w:p>
    <w:p w14:paraId="5CA4D150" w14:textId="77777777" w:rsidR="00A77B3E" w:rsidRDefault="0011706D">
      <w:pPr>
        <w:spacing w:line="288" w:lineRule="auto"/>
        <w:jc w:val="both"/>
        <w:rPr>
          <w:color w:val="000000"/>
          <w:sz w:val="22"/>
        </w:rPr>
      </w:pPr>
      <w:r>
        <w:rPr>
          <w:color w:val="000000"/>
          <w:sz w:val="22"/>
        </w:rPr>
        <w:t>The incorporated areas of the West-North Service Area, which includes Aledo, Andrews, Anthony, Barstow, Borger, Breckenridge, Bryson, Clint, Crane, Dell City, El Paso, Graford, Graham, Horizon City, Hudson Oaks, Jacksboro, McCamey, Millsap, Mineral Wells, Monahans, Pecos, Pyote, San Elizario, Skellytown, Socorro, Thorntonville, Vinton, Weatherford, Wickett, Willow Park and Wink, Texas.</w:t>
      </w:r>
    </w:p>
    <w:p w14:paraId="39FEC1BB" w14:textId="77777777" w:rsidR="00A77B3E" w:rsidRDefault="00A77B3E">
      <w:pPr>
        <w:spacing w:line="288" w:lineRule="auto"/>
        <w:jc w:val="both"/>
        <w:rPr>
          <w:color w:val="000000"/>
          <w:sz w:val="22"/>
        </w:rPr>
      </w:pPr>
    </w:p>
    <w:p w14:paraId="7D5AEA56" w14:textId="77777777" w:rsidR="00A77B3E" w:rsidRDefault="0011706D">
      <w:pPr>
        <w:spacing w:line="288" w:lineRule="auto"/>
        <w:jc w:val="both"/>
        <w:rPr>
          <w:color w:val="000000"/>
          <w:sz w:val="22"/>
        </w:rPr>
      </w:pPr>
      <w:r>
        <w:rPr>
          <w:b/>
          <w:color w:val="000000"/>
          <w:sz w:val="22"/>
          <w:u w:val="single"/>
        </w:rPr>
        <w:t>COST OF SERVICE RATE</w:t>
      </w:r>
    </w:p>
    <w:p w14:paraId="23DCE96B" w14:textId="77777777" w:rsidR="00A77B3E" w:rsidRDefault="00A77B3E">
      <w:pPr>
        <w:spacing w:line="288" w:lineRule="auto"/>
        <w:jc w:val="both"/>
        <w:rPr>
          <w:color w:val="000000"/>
          <w:sz w:val="22"/>
        </w:rPr>
      </w:pPr>
    </w:p>
    <w:p w14:paraId="6CF3713B" w14:textId="77777777" w:rsidR="00A77B3E" w:rsidRDefault="0011706D">
      <w:pPr>
        <w:spacing w:line="288" w:lineRule="auto"/>
        <w:jc w:val="both"/>
        <w:rPr>
          <w:sz w:val="22"/>
        </w:rPr>
      </w:pPr>
      <w:r>
        <w:rPr>
          <w:sz w:val="22"/>
        </w:rPr>
        <w:t>During each monthly billing period, the Cost of Service Rate shall be comprised of:</w:t>
      </w:r>
    </w:p>
    <w:p w14:paraId="524BC996" w14:textId="77777777" w:rsidR="00A77B3E" w:rsidRDefault="00A77B3E">
      <w:pPr>
        <w:spacing w:line="288" w:lineRule="auto"/>
        <w:jc w:val="both"/>
        <w:rPr>
          <w:color w:val="000000"/>
          <w:sz w:val="22"/>
        </w:rPr>
      </w:pPr>
    </w:p>
    <w:p w14:paraId="408161B9" w14:textId="77777777" w:rsidR="00A77B3E" w:rsidRDefault="0011706D">
      <w:pPr>
        <w:tabs>
          <w:tab w:val="left" w:pos="4760"/>
        </w:tabs>
        <w:spacing w:line="288" w:lineRule="auto"/>
        <w:jc w:val="both"/>
        <w:rPr>
          <w:color w:val="000000"/>
          <w:sz w:val="22"/>
        </w:rPr>
      </w:pPr>
      <w:r>
        <w:rPr>
          <w:color w:val="000000"/>
          <w:sz w:val="22"/>
        </w:rPr>
        <w:t>A customer charge per meter per month of</w:t>
      </w:r>
      <w:r>
        <w:rPr>
          <w:color w:val="000000"/>
          <w:sz w:val="22"/>
        </w:rPr>
        <w:tab/>
      </w:r>
      <w:r>
        <w:rPr>
          <w:color w:val="000000"/>
          <w:sz w:val="22"/>
        </w:rPr>
        <w:tab/>
      </w:r>
      <w:r>
        <w:rPr>
          <w:color w:val="000000"/>
          <w:sz w:val="22"/>
        </w:rPr>
        <w:tab/>
      </w:r>
      <w:r>
        <w:rPr>
          <w:color w:val="000000"/>
          <w:sz w:val="22"/>
        </w:rPr>
        <w:tab/>
        <w:t>$850.00 plus</w:t>
      </w:r>
    </w:p>
    <w:p w14:paraId="3E8ED511" w14:textId="77777777" w:rsidR="00A77B3E" w:rsidRDefault="00A77B3E">
      <w:pPr>
        <w:tabs>
          <w:tab w:val="left" w:pos="4760"/>
        </w:tabs>
        <w:spacing w:line="288" w:lineRule="auto"/>
        <w:jc w:val="both"/>
        <w:rPr>
          <w:color w:val="000000"/>
          <w:sz w:val="22"/>
        </w:rPr>
      </w:pPr>
    </w:p>
    <w:p w14:paraId="0890C55F" w14:textId="70C371FE" w:rsidR="00A77B3E" w:rsidRDefault="0011706D">
      <w:pPr>
        <w:tabs>
          <w:tab w:val="left" w:pos="4760"/>
        </w:tabs>
        <w:spacing w:line="288" w:lineRule="auto"/>
        <w:jc w:val="both"/>
        <w:rPr>
          <w:color w:val="000000"/>
          <w:sz w:val="22"/>
        </w:rPr>
      </w:pPr>
      <w:r>
        <w:rPr>
          <w:color w:val="000000"/>
          <w:sz w:val="22"/>
        </w:rPr>
        <w:t xml:space="preserve">All Ccf </w:t>
      </w:r>
      <w:r>
        <w:rPr>
          <w:sz w:val="22"/>
        </w:rPr>
        <w:t xml:space="preserve">metered @14.65 psi* during the </w:t>
      </w:r>
      <w:r>
        <w:rPr>
          <w:color w:val="000000"/>
          <w:sz w:val="22"/>
        </w:rPr>
        <w:t>monthly billing period @</w:t>
      </w:r>
      <w:r>
        <w:rPr>
          <w:color w:val="000000"/>
          <w:sz w:val="22"/>
        </w:rPr>
        <w:tab/>
        <w:t>$0.21543</w:t>
      </w:r>
      <w:r>
        <w:rPr>
          <w:color w:val="000000"/>
          <w:sz w:val="22"/>
        </w:rPr>
        <w:t xml:space="preserve"> per Ccf</w:t>
      </w:r>
    </w:p>
    <w:p w14:paraId="34F078F9" w14:textId="77777777" w:rsidR="00A77B3E" w:rsidRDefault="00A77B3E">
      <w:pPr>
        <w:tabs>
          <w:tab w:val="left" w:pos="4760"/>
        </w:tabs>
        <w:spacing w:line="288" w:lineRule="auto"/>
        <w:jc w:val="both"/>
        <w:rPr>
          <w:b/>
          <w:color w:val="000000"/>
          <w:sz w:val="22"/>
        </w:rPr>
      </w:pPr>
    </w:p>
    <w:p w14:paraId="085DA96C" w14:textId="77777777" w:rsidR="00A77B3E" w:rsidRDefault="0011706D">
      <w:pPr>
        <w:spacing w:line="288" w:lineRule="auto"/>
        <w:jc w:val="both"/>
        <w:rPr>
          <w:b/>
          <w:sz w:val="22"/>
        </w:rPr>
      </w:pPr>
      <w:r>
        <w:rPr>
          <w:sz w:val="22"/>
        </w:rPr>
        <w:t>*All customers will be billed at a Common Billing Pressure of 14.65 psi, but not all customers receive service at the pressure base of 14.65 psi. To determine the pressure base and conversion factors for your location, refer to the Company's Rules of Service (Rate Schedule Number QSR-WNSA), Section 13.1.</w:t>
      </w:r>
    </w:p>
    <w:p w14:paraId="0C395A39" w14:textId="77777777" w:rsidR="00A77B3E" w:rsidRDefault="00A77B3E">
      <w:pPr>
        <w:tabs>
          <w:tab w:val="left" w:pos="4760"/>
        </w:tabs>
        <w:spacing w:line="288" w:lineRule="auto"/>
        <w:jc w:val="both"/>
        <w:rPr>
          <w:color w:val="000000"/>
          <w:sz w:val="22"/>
        </w:rPr>
      </w:pPr>
    </w:p>
    <w:p w14:paraId="0F46E2D9" w14:textId="77777777" w:rsidR="00A77B3E" w:rsidRDefault="0011706D">
      <w:pPr>
        <w:spacing w:line="288" w:lineRule="auto"/>
        <w:jc w:val="both"/>
        <w:rPr>
          <w:color w:val="000000"/>
          <w:sz w:val="22"/>
        </w:rPr>
      </w:pPr>
      <w:r>
        <w:rPr>
          <w:b/>
          <w:color w:val="000000"/>
          <w:sz w:val="22"/>
          <w:u w:val="single"/>
        </w:rPr>
        <w:t>OTHER ADJUSTMENTS</w:t>
      </w:r>
    </w:p>
    <w:p w14:paraId="2D7963C4" w14:textId="77777777" w:rsidR="00A77B3E" w:rsidRDefault="00A77B3E">
      <w:pPr>
        <w:spacing w:line="288" w:lineRule="auto"/>
        <w:jc w:val="both"/>
        <w:rPr>
          <w:color w:val="000000"/>
          <w:sz w:val="22"/>
        </w:rPr>
      </w:pPr>
    </w:p>
    <w:p w14:paraId="24F5343D" w14:textId="77777777" w:rsidR="00A77B3E" w:rsidRDefault="0011706D">
      <w:pPr>
        <w:spacing w:line="288" w:lineRule="auto"/>
        <w:jc w:val="both"/>
        <w:rPr>
          <w:color w:val="000000"/>
          <w:sz w:val="22"/>
        </w:rPr>
      </w:pPr>
      <w:r>
        <w:rPr>
          <w:color w:val="000000"/>
          <w:sz w:val="22"/>
          <w:u w:val="single"/>
        </w:rPr>
        <w:t>Cost of Gas Component</w:t>
      </w:r>
      <w:r>
        <w:rPr>
          <w:color w:val="000000"/>
          <w:sz w:val="22"/>
        </w:rPr>
        <w:t xml:space="preserve">:  The basic rates for cost of service set forth above shall be increased by the amount of the Cost of Gas Component for the billing month computed in accordance with </w:t>
      </w:r>
      <w:r>
        <w:rPr>
          <w:color w:val="000000"/>
          <w:sz w:val="22"/>
        </w:rPr>
        <w:t>provisions of the Cost of Gas Clause, Rate Schedule 1-INC.</w:t>
      </w:r>
    </w:p>
    <w:p w14:paraId="6DE1E06C" w14:textId="77777777" w:rsidR="00A77B3E" w:rsidRDefault="00A77B3E">
      <w:pPr>
        <w:spacing w:line="288" w:lineRule="auto"/>
        <w:jc w:val="both"/>
        <w:rPr>
          <w:color w:val="000000"/>
          <w:sz w:val="22"/>
        </w:rPr>
      </w:pPr>
    </w:p>
    <w:p w14:paraId="0D6B8E64" w14:textId="77777777" w:rsidR="00A77B3E" w:rsidRDefault="0011706D">
      <w:pPr>
        <w:spacing w:line="288" w:lineRule="auto"/>
        <w:jc w:val="both"/>
        <w:rPr>
          <w:color w:val="000000"/>
          <w:sz w:val="22"/>
        </w:rPr>
      </w:pPr>
      <w:r>
        <w:rPr>
          <w:color w:val="000000"/>
          <w:sz w:val="22"/>
          <w:u w:val="single"/>
        </w:rPr>
        <w:t>Economic Development Rider</w:t>
      </w:r>
      <w:r>
        <w:rPr>
          <w:color w:val="000000"/>
          <w:sz w:val="22"/>
        </w:rPr>
        <w:t>:  The billing shall reflect adjustments in accordance with provisions of the Economic Development Rider, Rate Schedule EDR, if applicable.</w:t>
      </w:r>
    </w:p>
    <w:p w14:paraId="72424F3E" w14:textId="77777777" w:rsidR="00A77B3E" w:rsidRDefault="00A77B3E">
      <w:pPr>
        <w:spacing w:line="288" w:lineRule="auto"/>
        <w:jc w:val="both"/>
        <w:rPr>
          <w:sz w:val="22"/>
        </w:rPr>
      </w:pPr>
    </w:p>
    <w:p w14:paraId="74E6F136" w14:textId="77777777" w:rsidR="00A77B3E" w:rsidRDefault="0011706D">
      <w:pPr>
        <w:spacing w:line="288" w:lineRule="auto"/>
        <w:jc w:val="both"/>
        <w:rPr>
          <w:color w:val="000000"/>
          <w:sz w:val="22"/>
        </w:rPr>
      </w:pPr>
      <w:r>
        <w:rPr>
          <w:color w:val="000000"/>
          <w:sz w:val="22"/>
          <w:u w:val="single"/>
        </w:rPr>
        <w:t>Pipeline Integrity Testing Rider</w:t>
      </w:r>
      <w:r>
        <w:rPr>
          <w:color w:val="000000"/>
          <w:sz w:val="22"/>
        </w:rPr>
        <w:t>:  The billing shall reflect adjustments in accordance with provisions of the Pipeline Integrity Testing Rider, Rate Schedules PIT and PIT-Rider, if applicable.</w:t>
      </w:r>
    </w:p>
    <w:p w14:paraId="5AC08FD7" w14:textId="77777777" w:rsidR="00A77B3E" w:rsidRDefault="00A77B3E">
      <w:pPr>
        <w:spacing w:line="288" w:lineRule="auto"/>
        <w:jc w:val="both"/>
        <w:rPr>
          <w:color w:val="000000"/>
          <w:sz w:val="22"/>
        </w:rPr>
      </w:pPr>
    </w:p>
    <w:p w14:paraId="285B0240" w14:textId="77777777" w:rsidR="00A77B3E" w:rsidRDefault="0011706D">
      <w:pPr>
        <w:spacing w:line="288" w:lineRule="auto"/>
        <w:jc w:val="both"/>
        <w:rPr>
          <w:sz w:val="22"/>
        </w:rPr>
      </w:pPr>
      <w:r>
        <w:rPr>
          <w:color w:val="000000"/>
          <w:sz w:val="22"/>
          <w:u w:val="single"/>
        </w:rPr>
        <w:t>Pipeline Safety and Regulatory Program Fees</w:t>
      </w:r>
      <w:r>
        <w:rPr>
          <w:sz w:val="22"/>
        </w:rPr>
        <w:t>:  The billing shall reflect adjustments in accordance with provisions of the Pipeline Safety and Regulatory Program Fees Rider, Rate Schedule PSF.</w:t>
      </w:r>
    </w:p>
    <w:p w14:paraId="46720E3E" w14:textId="77777777" w:rsidR="00A77B3E" w:rsidRDefault="00A77B3E">
      <w:pPr>
        <w:pageBreakBefore/>
        <w:spacing w:line="288" w:lineRule="auto"/>
        <w:jc w:val="center"/>
        <w:rPr>
          <w:sz w:val="22"/>
        </w:rPr>
      </w:pPr>
    </w:p>
    <w:p w14:paraId="209934D2" w14:textId="77777777" w:rsidR="00A77B3E" w:rsidRDefault="0011706D">
      <w:pPr>
        <w:spacing w:line="288" w:lineRule="auto"/>
        <w:jc w:val="center"/>
        <w:rPr>
          <w:color w:val="000000"/>
          <w:sz w:val="22"/>
        </w:rPr>
      </w:pPr>
      <w:r>
        <w:rPr>
          <w:b/>
          <w:color w:val="000000"/>
          <w:sz w:val="22"/>
        </w:rPr>
        <w:t>INDUSTRIAL SERVICE RATE (Continued)</w:t>
      </w:r>
    </w:p>
    <w:p w14:paraId="308C1D07" w14:textId="77777777" w:rsidR="00A77B3E" w:rsidRDefault="00A77B3E">
      <w:pPr>
        <w:spacing w:line="288" w:lineRule="auto"/>
        <w:jc w:val="center"/>
        <w:rPr>
          <w:sz w:val="22"/>
        </w:rPr>
      </w:pPr>
    </w:p>
    <w:p w14:paraId="0A426CFD" w14:textId="77777777" w:rsidR="00A77B3E" w:rsidRDefault="0011706D">
      <w:pPr>
        <w:spacing w:line="288" w:lineRule="auto"/>
        <w:jc w:val="both"/>
        <w:rPr>
          <w:color w:val="000000"/>
          <w:sz w:val="22"/>
        </w:rPr>
      </w:pPr>
      <w:r>
        <w:rPr>
          <w:color w:val="000000"/>
          <w:sz w:val="22"/>
          <w:u w:val="single"/>
        </w:rPr>
        <w:t>Rate Case Expense Surcharge Rider</w:t>
      </w:r>
      <w:r>
        <w:rPr>
          <w:color w:val="000000"/>
          <w:sz w:val="22"/>
        </w:rPr>
        <w:t xml:space="preserve">:  The billing shall reflect adjustments in accordance with provisions of the </w:t>
      </w:r>
      <w:r>
        <w:rPr>
          <w:color w:val="000000"/>
          <w:sz w:val="22"/>
        </w:rPr>
        <w:t>Rate Case Expense Surcharge Rider, Rate Schedule RCE-WN.</w:t>
      </w:r>
    </w:p>
    <w:p w14:paraId="315BD86A" w14:textId="77777777" w:rsidR="00A77B3E" w:rsidRDefault="00A77B3E">
      <w:pPr>
        <w:spacing w:line="288" w:lineRule="auto"/>
        <w:jc w:val="both"/>
        <w:rPr>
          <w:color w:val="000000"/>
          <w:sz w:val="22"/>
        </w:rPr>
      </w:pPr>
    </w:p>
    <w:p w14:paraId="2B8A1E52" w14:textId="77777777" w:rsidR="00A77B3E" w:rsidRDefault="0011706D">
      <w:pPr>
        <w:spacing w:line="288" w:lineRule="auto"/>
        <w:jc w:val="both"/>
        <w:rPr>
          <w:color w:val="000000"/>
          <w:sz w:val="22"/>
        </w:rPr>
      </w:pPr>
      <w:r>
        <w:rPr>
          <w:color w:val="000000"/>
          <w:sz w:val="22"/>
          <w:u w:val="single"/>
        </w:rPr>
        <w:t>Taxes</w:t>
      </w:r>
      <w:r>
        <w:rPr>
          <w:color w:val="000000"/>
          <w:sz w:val="22"/>
        </w:rPr>
        <w:t>:  Plus applicable taxes and fees (including franchise fees) related to above.</w:t>
      </w:r>
    </w:p>
    <w:p w14:paraId="6CB9F206" w14:textId="77777777" w:rsidR="00A77B3E" w:rsidRDefault="00A77B3E">
      <w:pPr>
        <w:spacing w:line="288" w:lineRule="auto"/>
        <w:rPr>
          <w:sz w:val="22"/>
        </w:rPr>
      </w:pPr>
    </w:p>
    <w:p w14:paraId="3486BFE6" w14:textId="77777777" w:rsidR="00A77B3E" w:rsidRDefault="0011706D">
      <w:pPr>
        <w:spacing w:line="288" w:lineRule="auto"/>
        <w:jc w:val="both"/>
        <w:rPr>
          <w:color w:val="000000"/>
          <w:sz w:val="22"/>
        </w:rPr>
      </w:pPr>
      <w:r>
        <w:rPr>
          <w:b/>
          <w:color w:val="000000"/>
          <w:sz w:val="22"/>
          <w:u w:val="single"/>
        </w:rPr>
        <w:t>CONDITIONS</w:t>
      </w:r>
    </w:p>
    <w:p w14:paraId="307CADCD" w14:textId="77777777" w:rsidR="00A77B3E" w:rsidRDefault="00A77B3E">
      <w:pPr>
        <w:spacing w:line="288" w:lineRule="auto"/>
        <w:ind w:left="446" w:hanging="446"/>
        <w:jc w:val="both"/>
        <w:rPr>
          <w:color w:val="000000"/>
          <w:sz w:val="22"/>
        </w:rPr>
      </w:pPr>
    </w:p>
    <w:p w14:paraId="3A2463BF" w14:textId="77777777" w:rsidR="00A77B3E" w:rsidRDefault="0011706D">
      <w:pPr>
        <w:spacing w:line="288" w:lineRule="auto"/>
        <w:jc w:val="both"/>
        <w:rPr>
          <w:color w:val="000000"/>
          <w:sz w:val="22"/>
        </w:rPr>
      </w:pPr>
      <w:r>
        <w:rPr>
          <w:color w:val="000000"/>
          <w:sz w:val="22"/>
        </w:rPr>
        <w:t>Subject to all applicable laws and orders, and the Company's rules and regulations on file with the regulatory authority.</w:t>
      </w:r>
    </w:p>
    <w:sectPr w:rsidR="00A77B3E">
      <w:headerReference w:type="default" r:id="rId7"/>
      <w:footerReference w:type="default" r:id="rId8"/>
      <w:pgSz w:w="12240" w:h="15840"/>
      <w:pgMar w:top="1440" w:right="1080" w:bottom="1440" w:left="108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91D59" w14:textId="77777777" w:rsidR="0011706D" w:rsidRDefault="0011706D">
      <w:r>
        <w:separator/>
      </w:r>
    </w:p>
  </w:endnote>
  <w:endnote w:type="continuationSeparator" w:id="0">
    <w:p w14:paraId="2247EF87" w14:textId="77777777" w:rsidR="0011706D" w:rsidRDefault="0011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FAFB1" w14:textId="77777777" w:rsidR="00030B22" w:rsidRDefault="0011706D">
    <w:pPr>
      <w:spacing w:line="288" w:lineRule="auto"/>
      <w:outlineLvl w:val="0"/>
      <w:rPr>
        <w:color w:val="000000"/>
        <w:sz w:val="22"/>
      </w:rPr>
    </w:pPr>
    <w:r>
      <w:rPr>
        <w:color w:val="000000"/>
        <w:sz w:val="22"/>
        <w:u w:val="single"/>
      </w:rPr>
      <w:t>Supersedes Rate Schedule Dated</w:t>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u w:val="single"/>
      </w:rPr>
      <w:t>Meters Read On and After</w:t>
    </w:r>
  </w:p>
  <w:p w14:paraId="5183D9F7" w14:textId="77777777" w:rsidR="00030B22" w:rsidRDefault="0011706D">
    <w:pPr>
      <w:spacing w:line="288" w:lineRule="auto"/>
      <w:outlineLvl w:val="0"/>
      <w:rPr>
        <w:color w:val="000000"/>
        <w:sz w:val="22"/>
      </w:rPr>
    </w:pPr>
    <w:r>
      <w:rPr>
        <w:color w:val="000000"/>
        <w:sz w:val="22"/>
      </w:rPr>
      <w:t>May 27, 2025</w:t>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TBD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F17BA" w14:textId="77777777" w:rsidR="0011706D" w:rsidRDefault="0011706D">
      <w:r>
        <w:separator/>
      </w:r>
    </w:p>
  </w:footnote>
  <w:footnote w:type="continuationSeparator" w:id="0">
    <w:p w14:paraId="33C822D1" w14:textId="77777777" w:rsidR="0011706D" w:rsidRDefault="0011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2E12F" w14:textId="77777777" w:rsidR="00030B22" w:rsidRDefault="0011706D">
    <w:pPr>
      <w:keepNext/>
      <w:spacing w:line="288" w:lineRule="auto"/>
      <w:jc w:val="both"/>
      <w:outlineLvl w:val="0"/>
      <w:rPr>
        <w:color w:val="000000"/>
        <w:sz w:val="26"/>
      </w:rPr>
    </w:pPr>
    <w:r>
      <w:rPr>
        <w:b/>
        <w:color w:val="000000"/>
        <w:sz w:val="26"/>
      </w:rPr>
      <w:t>Texas Gas Service Company, a Division of ONE Gas, Inc.</w:t>
    </w:r>
    <w:r>
      <w:rPr>
        <w:b/>
        <w:color w:val="000000"/>
        <w:sz w:val="26"/>
      </w:rPr>
      <w:tab/>
    </w:r>
    <w:r>
      <w:rPr>
        <w:b/>
        <w:color w:val="000000"/>
        <w:sz w:val="26"/>
      </w:rPr>
      <w:tab/>
      <w:t>RATE SCHEDULE 30</w:t>
    </w:r>
  </w:p>
  <w:p w14:paraId="79459DCA" w14:textId="77777777" w:rsidR="00030B22" w:rsidRDefault="0011706D">
    <w:pPr>
      <w:keepNext/>
      <w:spacing w:line="288" w:lineRule="auto"/>
      <w:ind w:right="432"/>
      <w:jc w:val="both"/>
      <w:outlineLvl w:val="0"/>
      <w:rPr>
        <w:color w:val="000000"/>
        <w:sz w:val="26"/>
      </w:rPr>
    </w:pPr>
    <w:r>
      <w:rPr>
        <w:b/>
        <w:color w:val="000000"/>
        <w:sz w:val="26"/>
      </w:rPr>
      <w:t>West-North Service Area</w:t>
    </w:r>
    <w:r>
      <w:rPr>
        <w:b/>
        <w:color w:val="000000"/>
        <w:sz w:val="26"/>
      </w:rPr>
      <w:tab/>
    </w:r>
    <w:r>
      <w:rPr>
        <w:b/>
        <w:color w:val="000000"/>
        <w:sz w:val="26"/>
      </w:rPr>
      <w:tab/>
    </w:r>
    <w:r>
      <w:rPr>
        <w:b/>
        <w:color w:val="000000"/>
        <w:sz w:val="26"/>
      </w:rPr>
      <w:tab/>
    </w:r>
    <w:r>
      <w:rPr>
        <w:b/>
        <w:color w:val="000000"/>
        <w:sz w:val="26"/>
      </w:rPr>
      <w:tab/>
    </w:r>
    <w:r>
      <w:rPr>
        <w:b/>
        <w:color w:val="000000"/>
        <w:sz w:val="26"/>
      </w:rPr>
      <w:tab/>
    </w:r>
    <w:r>
      <w:rPr>
        <w:b/>
        <w:color w:val="000000"/>
        <w:sz w:val="26"/>
      </w:rPr>
      <w:tab/>
    </w:r>
    <w:r>
      <w:rPr>
        <w:b/>
        <w:color w:val="000000"/>
        <w:sz w:val="26"/>
      </w:rPr>
      <w:tab/>
      <w:t xml:space="preserve">Page </w:t>
    </w:r>
    <w:r>
      <w:rPr>
        <w:b/>
        <w:color w:val="000000"/>
        <w:sz w:val="26"/>
      </w:rPr>
      <w:fldChar w:fldCharType="begin"/>
    </w:r>
    <w:r>
      <w:rPr>
        <w:b/>
        <w:color w:val="000000"/>
        <w:sz w:val="26"/>
      </w:rPr>
      <w:instrText xml:space="preserve"> PAGE </w:instrText>
    </w:r>
    <w:r>
      <w:rPr>
        <w:b/>
        <w:color w:val="000000"/>
        <w:sz w:val="26"/>
      </w:rPr>
      <w:fldChar w:fldCharType="separate"/>
    </w:r>
    <w:r>
      <w:rPr>
        <w:b/>
        <w:color w:val="000000"/>
        <w:sz w:val="26"/>
      </w:rPr>
      <w:t>2</w:t>
    </w:r>
    <w:r>
      <w:rPr>
        <w:b/>
        <w:color w:val="000000"/>
        <w:sz w:val="26"/>
      </w:rPr>
      <w:fldChar w:fldCharType="end"/>
    </w:r>
    <w:r>
      <w:rPr>
        <w:b/>
        <w:color w:val="000000"/>
        <w:sz w:val="26"/>
      </w:rPr>
      <w:t xml:space="preserve">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styleLink w:val="bulletasterisk"/>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1" w15:restartNumberingAfterBreak="0">
    <w:nsid w:val="00000002"/>
    <w:multiLevelType w:val="multilevel"/>
    <w:tmpl w:val="00000002"/>
    <w:styleLink w:val="bulletcircl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2" w15:restartNumberingAfterBreak="0">
    <w:nsid w:val="00000003"/>
    <w:multiLevelType w:val="multilevel"/>
    <w:tmpl w:val="00000003"/>
    <w:styleLink w:val="bulletdagger"/>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3" w15:restartNumberingAfterBreak="0">
    <w:nsid w:val="00000004"/>
    <w:multiLevelType w:val="multilevel"/>
    <w:tmpl w:val="00000004"/>
    <w:styleLink w:val="bulletdash"/>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4" w15:restartNumberingAfterBreak="0">
    <w:nsid w:val="00000005"/>
    <w:multiLevelType w:val="multilevel"/>
    <w:tmpl w:val="00000005"/>
    <w:styleLink w:val="bulletlargebox"/>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5" w15:restartNumberingAfterBreak="0">
    <w:nsid w:val="00000006"/>
    <w:multiLevelType w:val="multilevel"/>
    <w:tmpl w:val="00000006"/>
    <w:styleLink w:val="bulletround"/>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6" w15:restartNumberingAfterBreak="0">
    <w:nsid w:val="00000007"/>
    <w:multiLevelType w:val="multilevel"/>
    <w:tmpl w:val="00000007"/>
    <w:styleLink w:val="bulletsquar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7" w15:restartNumberingAfterBreak="0">
    <w:nsid w:val="00000008"/>
    <w:multiLevelType w:val="multilevel"/>
    <w:tmpl w:val="00000008"/>
    <w:styleLink w:val="listarabi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styleLink w:val="listlatinlowercas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9" w15:restartNumberingAfterBreak="0">
    <w:nsid w:val="0000000A"/>
    <w:multiLevelType w:val="multilevel"/>
    <w:tmpl w:val="0000000A"/>
    <w:styleLink w:val="listlatinuppercas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styleLink w:val="listromanlowercase"/>
    <w:lvl w:ilvl="0">
      <w:start w:val="1"/>
      <w:numFmt w:val="lowerRoma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lowerRoman"/>
      <w:lvlText w:val="%7."/>
      <w:lvlJc w:val="right"/>
      <w:pPr>
        <w:tabs>
          <w:tab w:val="num" w:pos="5040"/>
        </w:tabs>
        <w:ind w:left="5040" w:hanging="360"/>
      </w:pPr>
    </w:lvl>
    <w:lvl w:ilvl="7">
      <w:start w:val="1"/>
      <w:numFmt w:val="decimal"/>
      <w:lvlText w:val="%8."/>
      <w:lvlJc w:val="left"/>
      <w:pPr>
        <w:tabs>
          <w:tab w:val="num" w:pos="5760"/>
        </w:tabs>
        <w:ind w:left="5760" w:hanging="360"/>
      </w:pPr>
    </w:lvl>
    <w:lvl w:ilvl="8">
      <w:start w:val="1"/>
      <w:numFmt w:val="lowerLetter"/>
      <w:lvlText w:val="%9."/>
      <w:lvlJc w:val="left"/>
      <w:pPr>
        <w:tabs>
          <w:tab w:val="num" w:pos="6480"/>
        </w:tabs>
        <w:ind w:left="6480" w:hanging="180"/>
      </w:pPr>
    </w:lvl>
  </w:abstractNum>
  <w:abstractNum w:abstractNumId="11" w15:restartNumberingAfterBreak="0">
    <w:nsid w:val="0000000C"/>
    <w:multiLevelType w:val="multilevel"/>
    <w:tmpl w:val="0000000C"/>
    <w:styleLink w:val="listromanuppercase"/>
    <w:lvl w:ilvl="0">
      <w:start w:val="1"/>
      <w:numFmt w:val="upperRoman"/>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12" w15:restartNumberingAfterBreak="0">
    <w:nsid w:val="0000000D"/>
    <w:multiLevelType w:val="multilevel"/>
    <w:tmpl w:val="0000000D"/>
    <w:styleLink w:val="outlinearabic"/>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180"/>
      </w:pPr>
    </w:lvl>
    <w:lvl w:ilvl="3">
      <w:start w:val="1"/>
      <w:numFmt w:val="decimal"/>
      <w:lvlText w:val="%1.%2.%3.%4."/>
      <w:lvlJc w:val="left"/>
      <w:pPr>
        <w:tabs>
          <w:tab w:val="num" w:pos="2880"/>
        </w:tabs>
        <w:ind w:left="2880" w:hanging="360"/>
      </w:pPr>
    </w:lvl>
    <w:lvl w:ilvl="4">
      <w:start w:val="1"/>
      <w:numFmt w:val="decimal"/>
      <w:lvlText w:val="%1.%2.%3.%4.%5."/>
      <w:lvlJc w:val="left"/>
      <w:pPr>
        <w:tabs>
          <w:tab w:val="num" w:pos="3600"/>
        </w:tabs>
        <w:ind w:left="3600" w:hanging="360"/>
      </w:pPr>
    </w:lvl>
    <w:lvl w:ilvl="5">
      <w:start w:val="1"/>
      <w:numFmt w:val="decimal"/>
      <w:lvlText w:val="%1.%2.%3.%4.%5.%6."/>
      <w:lvlJc w:val="left"/>
      <w:pPr>
        <w:tabs>
          <w:tab w:val="num" w:pos="4320"/>
        </w:tabs>
        <w:ind w:left="4320" w:hanging="180"/>
      </w:pPr>
    </w:lvl>
    <w:lvl w:ilvl="6">
      <w:start w:val="1"/>
      <w:numFmt w:val="decimal"/>
      <w:lvlText w:val="%1.%2.%3.%4.%5.%6.%7."/>
      <w:lvlJc w:val="left"/>
      <w:pPr>
        <w:tabs>
          <w:tab w:val="num" w:pos="5040"/>
        </w:tabs>
        <w:ind w:left="5040" w:hanging="360"/>
      </w:pPr>
    </w:lvl>
    <w:lvl w:ilvl="7">
      <w:start w:val="1"/>
      <w:numFmt w:val="decimal"/>
      <w:lvlText w:val="%1.%2.%3.%4.%5.%6.%7.%8."/>
      <w:lvlJc w:val="left"/>
      <w:pPr>
        <w:tabs>
          <w:tab w:val="num" w:pos="5760"/>
        </w:tabs>
        <w:ind w:left="5760" w:hanging="360"/>
      </w:pPr>
    </w:lvl>
    <w:lvl w:ilvl="8">
      <w:start w:val="1"/>
      <w:numFmt w:val="decimal"/>
      <w:lvlText w:val="%1.%2.%3.%4.%5.%6.%7.%8.%9."/>
      <w:lvlJc w:val="left"/>
      <w:pPr>
        <w:tabs>
          <w:tab w:val="num" w:pos="6480"/>
        </w:tabs>
        <w:ind w:left="6480" w:hanging="180"/>
      </w:pPr>
    </w:lvl>
  </w:abstractNum>
  <w:num w:numId="1" w16cid:durableId="399133884">
    <w:abstractNumId w:val="0"/>
  </w:num>
  <w:num w:numId="2" w16cid:durableId="493886380">
    <w:abstractNumId w:val="1"/>
  </w:num>
  <w:num w:numId="3" w16cid:durableId="909923743">
    <w:abstractNumId w:val="2"/>
  </w:num>
  <w:num w:numId="4" w16cid:durableId="2099714845">
    <w:abstractNumId w:val="3"/>
  </w:num>
  <w:num w:numId="5" w16cid:durableId="311519276">
    <w:abstractNumId w:val="4"/>
  </w:num>
  <w:num w:numId="6" w16cid:durableId="257644440">
    <w:abstractNumId w:val="5"/>
  </w:num>
  <w:num w:numId="7" w16cid:durableId="1613318049">
    <w:abstractNumId w:val="6"/>
  </w:num>
  <w:num w:numId="8" w16cid:durableId="591744368">
    <w:abstractNumId w:val="7"/>
  </w:num>
  <w:num w:numId="9" w16cid:durableId="1191793916">
    <w:abstractNumId w:val="8"/>
  </w:num>
  <w:num w:numId="10" w16cid:durableId="1534920451">
    <w:abstractNumId w:val="9"/>
  </w:num>
  <w:num w:numId="11" w16cid:durableId="906763256">
    <w:abstractNumId w:val="10"/>
  </w:num>
  <w:num w:numId="12" w16cid:durableId="1099060312">
    <w:abstractNumId w:val="11"/>
  </w:num>
  <w:num w:numId="13" w16cid:durableId="14921398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noLeading/>
    <w:suppressTopSpacingWP/>
    <w:compatSetting w:name="compatibilityMode" w:uri="http://schemas.microsoft.com/office/word" w:val="12"/>
    <w:compatSetting w:name="useWord2013TrackBottomHyphenation" w:uri="http://schemas.microsoft.com/office/word" w:val="1"/>
  </w:compat>
  <w:rsids>
    <w:rsidRoot w:val="00A77B3E"/>
    <w:rsid w:val="0001137B"/>
    <w:rsid w:val="00030B22"/>
    <w:rsid w:val="0011706D"/>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69F1B"/>
  <w15:docId w15:val="{A0FB1C06-95BF-4984-B0D5-F61DBEDF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1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asterisk">
    <w:name w:val="bullet.asterisk"/>
    <w:pPr>
      <w:numPr>
        <w:numId w:val="1"/>
      </w:numPr>
    </w:pPr>
  </w:style>
  <w:style w:type="numbering" w:customStyle="1" w:styleId="bulletcircle">
    <w:name w:val="bullet.circle"/>
    <w:pPr>
      <w:numPr>
        <w:numId w:val="2"/>
      </w:numPr>
    </w:pPr>
  </w:style>
  <w:style w:type="numbering" w:customStyle="1" w:styleId="bulletdagger">
    <w:name w:val="bullet.dagger"/>
    <w:pPr>
      <w:numPr>
        <w:numId w:val="3"/>
      </w:numPr>
    </w:pPr>
  </w:style>
  <w:style w:type="numbering" w:customStyle="1" w:styleId="bulletdash">
    <w:name w:val="bullet.dash"/>
    <w:pPr>
      <w:numPr>
        <w:numId w:val="4"/>
      </w:numPr>
    </w:pPr>
  </w:style>
  <w:style w:type="numbering" w:customStyle="1" w:styleId="bulletlargebox">
    <w:name w:val="bullet.largebox"/>
    <w:pPr>
      <w:numPr>
        <w:numId w:val="5"/>
      </w:numPr>
    </w:pPr>
  </w:style>
  <w:style w:type="numbering" w:customStyle="1" w:styleId="bulletround">
    <w:name w:val="bullet.round"/>
    <w:pPr>
      <w:numPr>
        <w:numId w:val="6"/>
      </w:numPr>
    </w:pPr>
  </w:style>
  <w:style w:type="numbering" w:customStyle="1" w:styleId="bulletsquare">
    <w:name w:val="bullet.square"/>
    <w:pPr>
      <w:numPr>
        <w:numId w:val="7"/>
      </w:numPr>
    </w:pPr>
  </w:style>
  <w:style w:type="numbering" w:customStyle="1" w:styleId="listarabic">
    <w:name w:val="list.arabic"/>
    <w:pPr>
      <w:numPr>
        <w:numId w:val="8"/>
      </w:numPr>
    </w:pPr>
  </w:style>
  <w:style w:type="numbering" w:customStyle="1" w:styleId="listlatinlowercase">
    <w:name w:val="list.latin.lowercase"/>
    <w:pPr>
      <w:numPr>
        <w:numId w:val="9"/>
      </w:numPr>
    </w:pPr>
  </w:style>
  <w:style w:type="numbering" w:customStyle="1" w:styleId="listlatinuppercase">
    <w:name w:val="list.latin.uppercase"/>
    <w:pPr>
      <w:numPr>
        <w:numId w:val="10"/>
      </w:numPr>
    </w:pPr>
  </w:style>
  <w:style w:type="numbering" w:customStyle="1" w:styleId="listromanlowercase">
    <w:name w:val="list.roman.lowercase"/>
    <w:pPr>
      <w:numPr>
        <w:numId w:val="11"/>
      </w:numPr>
    </w:pPr>
  </w:style>
  <w:style w:type="numbering" w:customStyle="1" w:styleId="listromanuppercase">
    <w:name w:val="list.roman.uppercase"/>
    <w:pPr>
      <w:numPr>
        <w:numId w:val="12"/>
      </w:numPr>
    </w:pPr>
  </w:style>
  <w:style w:type="numbering" w:customStyle="1" w:styleId="outlinearabic">
    <w:name w:val="outline.arabi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3EB0516098A4EA687651054688B86" ma:contentTypeVersion="3" ma:contentTypeDescription="Create a new document." ma:contentTypeScope="" ma:versionID="3fd8b174609b8db5d814b2188b03825e">
  <xsd:schema xmlns:xsd="http://www.w3.org/2001/XMLSchema" xmlns:xs="http://www.w3.org/2001/XMLSchema" xmlns:p="http://schemas.microsoft.com/office/2006/metadata/properties" xmlns:ns2="f0c4d911-024b-4b5c-bd42-5bf7635b8013" targetNamespace="http://schemas.microsoft.com/office/2006/metadata/properties" ma:root="true" ma:fieldsID="33d9cd95c648ac7c17941b3b732e8e14" ns2:_="">
    <xsd:import namespace="f0c4d911-024b-4b5c-bd42-5bf7635b801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4d911-024b-4b5c-bd42-5bf7635b8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FE432D-4F98-43D0-9A8E-5F9C4F9DBDFE}"/>
</file>

<file path=customXml/itemProps2.xml><?xml version="1.0" encoding="utf-8"?>
<ds:datastoreItem xmlns:ds="http://schemas.openxmlformats.org/officeDocument/2006/customXml" ds:itemID="{876A427F-7344-4869-828C-7388749C1D84}"/>
</file>

<file path=customXml/itemProps3.xml><?xml version="1.0" encoding="utf-8"?>
<ds:datastoreItem xmlns:ds="http://schemas.openxmlformats.org/officeDocument/2006/customXml" ds:itemID="{2B9BBB9C-9ECD-479C-B90C-52A08A8E1FBD}"/>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30-WNSA-IS-Ind_ Proposed</dc:title>
  <cp:lastModifiedBy>Bell, Christy M.</cp:lastModifiedBy>
  <cp:revision>2</cp:revision>
  <dcterms:created xsi:type="dcterms:W3CDTF">2025-06-13T21:44:00Z</dcterms:created>
  <dcterms:modified xsi:type="dcterms:W3CDTF">2025-06-13T21:44:00Z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0x0101002583EB0516098A4EA687651054688B86</vt:lpwstr>
  </property>
</Properties>
</file>