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677EF" w14:textId="77777777" w:rsidR="00CE71E5" w:rsidRDefault="00CE71E5" w:rsidP="00857F46">
      <w:pPr>
        <w:jc w:val="center"/>
        <w:rPr>
          <w:u w:val="single"/>
        </w:rPr>
      </w:pPr>
    </w:p>
    <w:p w14:paraId="06C40297" w14:textId="77777777" w:rsidR="00CE71E5" w:rsidRPr="00CE71E5" w:rsidRDefault="00CE71E5" w:rsidP="00857F46">
      <w:pPr>
        <w:jc w:val="center"/>
        <w:rPr>
          <w:b/>
          <w:u w:val="single"/>
        </w:rPr>
      </w:pPr>
      <w:bookmarkStart w:id="0" w:name="_GoBack"/>
      <w:proofErr w:type="spellStart"/>
      <w:r w:rsidRPr="00CE71E5">
        <w:rPr>
          <w:b/>
          <w:u w:val="single"/>
        </w:rPr>
        <w:t>CodeNEXT</w:t>
      </w:r>
      <w:proofErr w:type="spellEnd"/>
      <w:r w:rsidRPr="00CE71E5">
        <w:rPr>
          <w:b/>
          <w:u w:val="single"/>
        </w:rPr>
        <w:t xml:space="preserve"> Position Paper Regarding NCCDs in F25</w:t>
      </w:r>
    </w:p>
    <w:bookmarkEnd w:id="0"/>
    <w:p w14:paraId="28A40A83" w14:textId="77777777" w:rsidR="00CE71E5" w:rsidRDefault="00CE71E5" w:rsidP="00857F46">
      <w:pPr>
        <w:jc w:val="center"/>
        <w:rPr>
          <w:u w:val="single"/>
        </w:rPr>
      </w:pPr>
    </w:p>
    <w:p w14:paraId="38340B26" w14:textId="77777777" w:rsidR="00857F46" w:rsidRPr="00CE71E5" w:rsidRDefault="00CE71E5" w:rsidP="00857F46">
      <w:pPr>
        <w:jc w:val="center"/>
        <w:rPr>
          <w:b/>
          <w:u w:val="single"/>
        </w:rPr>
      </w:pPr>
      <w:r w:rsidRPr="00CE71E5">
        <w:rPr>
          <w:b/>
          <w:u w:val="single"/>
        </w:rPr>
        <w:t>23-4D-8080 Supplementation for NCCDs</w:t>
      </w:r>
    </w:p>
    <w:p w14:paraId="3F9C7630" w14:textId="77777777" w:rsidR="0004061E" w:rsidRDefault="0004061E" w:rsidP="0004061E">
      <w:pPr>
        <w:jc w:val="both"/>
      </w:pPr>
      <w:r>
        <w:t>The intent of this suggestion is to provide for (</w:t>
      </w:r>
      <w:proofErr w:type="spellStart"/>
      <w:r>
        <w:t>i</w:t>
      </w:r>
      <w:proofErr w:type="spellEnd"/>
      <w:r>
        <w:t xml:space="preserve">) procedures for the continued enforcement and management of NCCDs operating under the prior land development code and (ii) </w:t>
      </w:r>
      <w:r w:rsidR="009F48ED">
        <w:t>maintain the ability to adopt NCCDs in the future</w:t>
      </w:r>
      <w:r>
        <w:t>.</w:t>
      </w:r>
      <w:r w:rsidR="009F48ED">
        <w:t xml:space="preserve"> This is by no means a perfect draft, but is meant to illustrate a possible solution.</w:t>
      </w:r>
    </w:p>
    <w:p w14:paraId="706EF0EB" w14:textId="77777777" w:rsidR="0004061E" w:rsidRDefault="0004061E" w:rsidP="0004061E">
      <w:pPr>
        <w:tabs>
          <w:tab w:val="left" w:pos="6690"/>
        </w:tabs>
      </w:pPr>
      <w:r>
        <w:t xml:space="preserve">Section 23-4D-8XXX – Neighborhood Conservation Combining District (NCCD) </w:t>
      </w:r>
      <w:r w:rsidR="00AD032C">
        <w:t>Zone</w:t>
      </w:r>
    </w:p>
    <w:p w14:paraId="6B1D4D45" w14:textId="77777777" w:rsidR="00BA0107" w:rsidRDefault="0004061E" w:rsidP="00BA0107">
      <w:pPr>
        <w:pStyle w:val="ListParagraph"/>
        <w:numPr>
          <w:ilvl w:val="0"/>
          <w:numId w:val="3"/>
        </w:numPr>
      </w:pPr>
      <w:r>
        <w:rPr>
          <w:b/>
        </w:rPr>
        <w:t>Purpose</w:t>
      </w:r>
      <w:r>
        <w:t xml:space="preserve">. The purpose </w:t>
      </w:r>
      <w:r w:rsidR="00AD032C">
        <w:t>of the NCCD Zone</w:t>
      </w:r>
      <w:r>
        <w:t xml:space="preserve"> is to modify use and site development regulations of a zone</w:t>
      </w:r>
      <w:r w:rsidR="00AD032C">
        <w:t xml:space="preserve"> located within the NCCD Zone</w:t>
      </w:r>
      <w:r>
        <w:t xml:space="preserve"> </w:t>
      </w:r>
      <w:r w:rsidR="00BB4944">
        <w:t>to implement the goals and recommendations of an adopted neighborhood plan.</w:t>
      </w:r>
    </w:p>
    <w:p w14:paraId="5E2A5177" w14:textId="77777777" w:rsidR="00BA0107" w:rsidRDefault="00BA0107" w:rsidP="00BA0107">
      <w:pPr>
        <w:pStyle w:val="ListParagraph"/>
      </w:pPr>
    </w:p>
    <w:p w14:paraId="188436BF" w14:textId="77777777" w:rsidR="00AD032C" w:rsidRDefault="00AD032C" w:rsidP="00AD032C">
      <w:pPr>
        <w:pStyle w:val="ListParagraph"/>
        <w:numPr>
          <w:ilvl w:val="0"/>
          <w:numId w:val="3"/>
        </w:numPr>
      </w:pPr>
      <w:r>
        <w:rPr>
          <w:b/>
        </w:rPr>
        <w:t xml:space="preserve">Scope. </w:t>
      </w:r>
      <w:r>
        <w:t>The NCCD Zone applies to two classes of properties</w:t>
      </w:r>
      <w:r w:rsidR="00F503BF">
        <w:t>: (</w:t>
      </w:r>
      <w:proofErr w:type="spellStart"/>
      <w:r w:rsidR="00F503BF">
        <w:t>i</w:t>
      </w:r>
      <w:proofErr w:type="spellEnd"/>
      <w:r w:rsidR="00F503BF">
        <w:t>) properties</w:t>
      </w:r>
      <w:r>
        <w:t xml:space="preserve"> within a Neighborhood Conservation Combining District established prior to t</w:t>
      </w:r>
      <w:r w:rsidR="00F503BF">
        <w:t>he effective date of this Title and (ii) properties that have been rezoned to be included within an NCCD Zone after the effective date of this Title.</w:t>
      </w:r>
    </w:p>
    <w:p w14:paraId="2335022C" w14:textId="77777777" w:rsidR="00F503BF" w:rsidRDefault="00F503BF" w:rsidP="00F503BF">
      <w:pPr>
        <w:pStyle w:val="ListParagraph"/>
      </w:pPr>
    </w:p>
    <w:p w14:paraId="43A12215" w14:textId="77777777" w:rsidR="00F503BF" w:rsidRDefault="00F503BF" w:rsidP="00F503BF">
      <w:pPr>
        <w:pStyle w:val="ListParagraph"/>
        <w:numPr>
          <w:ilvl w:val="0"/>
          <w:numId w:val="3"/>
        </w:numPr>
      </w:pPr>
      <w:r>
        <w:rPr>
          <w:b/>
        </w:rPr>
        <w:t>Formerly Adopted Districts</w:t>
      </w:r>
      <w:r>
        <w:t>. A property within a Neighborhood Conservation Combining District established prior to the effective date of this Title is subject to the following:</w:t>
      </w:r>
    </w:p>
    <w:p w14:paraId="17A56024" w14:textId="77777777" w:rsidR="00F503BF" w:rsidRDefault="00F503BF" w:rsidP="00F503BF">
      <w:pPr>
        <w:pStyle w:val="ListParagraph"/>
      </w:pPr>
    </w:p>
    <w:p w14:paraId="3E65F6C2" w14:textId="77777777" w:rsidR="00B703F6" w:rsidRDefault="00F503BF" w:rsidP="00B703F6">
      <w:pPr>
        <w:pStyle w:val="ListParagraph"/>
        <w:numPr>
          <w:ilvl w:val="0"/>
          <w:numId w:val="8"/>
        </w:numPr>
        <w:ind w:left="1080"/>
      </w:pPr>
      <w:r>
        <w:rPr>
          <w:b/>
        </w:rPr>
        <w:t>Applicable Regulations</w:t>
      </w:r>
      <w:r>
        <w:t>. The use and site development regulations of the City’s predecessor Land Development Code, Chapter 25-2 (Zoning), in effect on or before _______, 2018 [i.e., the day before the effective date of this Title], except as modified by the regulating ordinance of the Neighborhood Conservation Combining.</w:t>
      </w:r>
      <w:r w:rsidR="002F5582">
        <w:t xml:space="preserve"> </w:t>
      </w:r>
    </w:p>
    <w:p w14:paraId="68B8345C" w14:textId="77777777" w:rsidR="00B703F6" w:rsidRDefault="00B703F6" w:rsidP="00B703F6">
      <w:pPr>
        <w:pStyle w:val="ListParagraph"/>
        <w:ind w:left="1080"/>
      </w:pPr>
    </w:p>
    <w:p w14:paraId="7DBD9CFD" w14:textId="77777777" w:rsidR="00B703F6" w:rsidRDefault="00B703F6" w:rsidP="00B703F6">
      <w:pPr>
        <w:pStyle w:val="ListParagraph"/>
        <w:numPr>
          <w:ilvl w:val="0"/>
          <w:numId w:val="8"/>
        </w:numPr>
        <w:ind w:left="1080"/>
      </w:pPr>
      <w:r>
        <w:rPr>
          <w:b/>
        </w:rPr>
        <w:t>Amendments</w:t>
      </w:r>
      <w:r>
        <w:t>. The sponsoring neighborhood organization of a formerly adopted NCCD may request an amendment to the regulating ordinance of the NCCD on an annual basis.</w:t>
      </w:r>
    </w:p>
    <w:p w14:paraId="6E3C8181" w14:textId="77777777" w:rsidR="00B703F6" w:rsidRDefault="00B703F6" w:rsidP="00B703F6">
      <w:pPr>
        <w:pStyle w:val="ListParagraph"/>
        <w:ind w:left="0"/>
      </w:pPr>
    </w:p>
    <w:p w14:paraId="22412BC6" w14:textId="77777777" w:rsidR="00B703F6" w:rsidRDefault="00B703F6" w:rsidP="00B703F6">
      <w:pPr>
        <w:pStyle w:val="ListParagraph"/>
        <w:numPr>
          <w:ilvl w:val="0"/>
          <w:numId w:val="8"/>
        </w:numPr>
        <w:ind w:left="1080"/>
      </w:pPr>
      <w:r>
        <w:rPr>
          <w:b/>
        </w:rPr>
        <w:t>Additional Properties</w:t>
      </w:r>
      <w:r>
        <w:t>. A property adjacent to the boundaries of a formerly adopted NCCD may request to be rezoned for inclusion within the applicable NCCD.</w:t>
      </w:r>
    </w:p>
    <w:p w14:paraId="393912C9" w14:textId="77777777" w:rsidR="00B703F6" w:rsidRDefault="00B703F6" w:rsidP="00B703F6">
      <w:pPr>
        <w:pStyle w:val="ListParagraph"/>
        <w:ind w:left="0"/>
      </w:pPr>
    </w:p>
    <w:p w14:paraId="5D928A46" w14:textId="77777777" w:rsidR="00B703F6" w:rsidRDefault="00B703F6" w:rsidP="002F5582">
      <w:pPr>
        <w:pStyle w:val="ListParagraph"/>
        <w:numPr>
          <w:ilvl w:val="0"/>
          <w:numId w:val="8"/>
        </w:numPr>
        <w:ind w:left="1080"/>
      </w:pPr>
      <w:r w:rsidRPr="00B703F6">
        <w:rPr>
          <w:b/>
        </w:rPr>
        <w:t>Rezoning</w:t>
      </w:r>
      <w:r>
        <w:t>.  A property within a formerly adopted NCCD shall only be eligible to be rezoned to the base zoning districts applicable under former Chapter 25-2.</w:t>
      </w:r>
      <w:r w:rsidR="00F503BF">
        <w:t xml:space="preserve"> </w:t>
      </w:r>
    </w:p>
    <w:p w14:paraId="59CF96CA" w14:textId="77777777" w:rsidR="002F5582" w:rsidRDefault="002F5582" w:rsidP="002F5582">
      <w:pPr>
        <w:pStyle w:val="ListParagraph"/>
      </w:pPr>
    </w:p>
    <w:p w14:paraId="0BD8AACA" w14:textId="77777777" w:rsidR="002F5582" w:rsidRDefault="002F5582" w:rsidP="002F5582">
      <w:pPr>
        <w:pStyle w:val="ListParagraph"/>
        <w:numPr>
          <w:ilvl w:val="0"/>
          <w:numId w:val="8"/>
        </w:numPr>
        <w:ind w:left="1080"/>
      </w:pPr>
      <w:r>
        <w:rPr>
          <w:b/>
        </w:rPr>
        <w:t xml:space="preserve">Compatibility Standards. </w:t>
      </w:r>
      <w:r>
        <w:t>Notwithstanding anything in this Title to the contrary:</w:t>
      </w:r>
    </w:p>
    <w:p w14:paraId="121CADF9" w14:textId="77777777" w:rsidR="002F5582" w:rsidRDefault="002F5582" w:rsidP="002F5582">
      <w:pPr>
        <w:pStyle w:val="ListParagraph"/>
        <w:ind w:left="1440"/>
      </w:pPr>
    </w:p>
    <w:p w14:paraId="714AF1D6" w14:textId="77777777" w:rsidR="002F5582" w:rsidRDefault="002F5582" w:rsidP="002F5582">
      <w:pPr>
        <w:pStyle w:val="ListParagraph"/>
        <w:numPr>
          <w:ilvl w:val="0"/>
          <w:numId w:val="10"/>
        </w:numPr>
      </w:pPr>
      <w:r>
        <w:lastRenderedPageBreak/>
        <w:t>properties within a formerly adopted NCCD are subject to the compatibility regulations established under former Chapter 25-2, Subchapter C, Article 10 (Compatibility), which limit the scale and intensity of development based on the existing use and zoning of adjacent properties;</w:t>
      </w:r>
      <w:r w:rsidR="001D5F48">
        <w:t xml:space="preserve"> </w:t>
      </w:r>
    </w:p>
    <w:p w14:paraId="632C8A6A" w14:textId="77777777" w:rsidR="002F5582" w:rsidRDefault="001D5F48" w:rsidP="002F5582">
      <w:pPr>
        <w:pStyle w:val="ListParagraph"/>
        <w:numPr>
          <w:ilvl w:val="0"/>
          <w:numId w:val="10"/>
        </w:numPr>
      </w:pPr>
      <w:r>
        <w:t xml:space="preserve">residential house-scale zones shall also trigger the compatibility regulations established under former Chapter 25-2, Subchapter C, Article 10 (Compatibility) for properties within a formerly adopted NCCD; </w:t>
      </w:r>
    </w:p>
    <w:p w14:paraId="3EC6DF19" w14:textId="77777777" w:rsidR="002F5582" w:rsidRDefault="00C9015E" w:rsidP="001D5F48">
      <w:pPr>
        <w:pStyle w:val="ListParagraph"/>
        <w:numPr>
          <w:ilvl w:val="0"/>
          <w:numId w:val="10"/>
        </w:numPr>
      </w:pPr>
      <w:r>
        <w:t>properties outside of an</w:t>
      </w:r>
      <w:r w:rsidR="001D5F48">
        <w:t xml:space="preserve"> NCCD that are being developed with uses that would </w:t>
      </w:r>
      <w:r w:rsidR="00AE33D3">
        <w:t xml:space="preserve">have been subject to </w:t>
      </w:r>
      <w:r w:rsidR="001D5F48">
        <w:t>the compatibility regulations established under former Chapter 25-2, Subchapter C, Article 10 (Compatibility)</w:t>
      </w:r>
      <w:r>
        <w:t>, due to their proximity to a triggering property,</w:t>
      </w:r>
      <w:r w:rsidR="001D5F48">
        <w:t xml:space="preserve"> shall be subject to compatibility standards under former Chapter 25-2, Subchapter C, Article 10 (Compatibility).</w:t>
      </w:r>
    </w:p>
    <w:p w14:paraId="6E698CB5" w14:textId="77777777" w:rsidR="001D5F48" w:rsidRDefault="001D5F48" w:rsidP="001D5F48">
      <w:pPr>
        <w:pStyle w:val="ListParagraph"/>
        <w:ind w:left="1440"/>
      </w:pPr>
    </w:p>
    <w:p w14:paraId="6247F8A8" w14:textId="77777777" w:rsidR="009F48ED" w:rsidRPr="009F48ED" w:rsidRDefault="001D5F48" w:rsidP="009F48ED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New Districts</w:t>
      </w:r>
      <w:r>
        <w:t>. An application for a zoning or rezoning to an NCCD Zone may be filed by a sponsoring neighborhood organization on behalf of property owners in the proposed zone</w:t>
      </w:r>
      <w:r w:rsidR="009F48ED">
        <w:t>, pursuant to the provisions of former Chapter 25-2, Article 4 (Neighborhood Conservation Combining Districts).</w:t>
      </w:r>
    </w:p>
    <w:p w14:paraId="7E1B3D70" w14:textId="77777777" w:rsidR="009F48ED" w:rsidRPr="009F48ED" w:rsidRDefault="009F48ED" w:rsidP="009F48ED">
      <w:pPr>
        <w:pStyle w:val="ListParagraph"/>
        <w:rPr>
          <w:b/>
        </w:rPr>
      </w:pPr>
    </w:p>
    <w:p w14:paraId="7610EDEA" w14:textId="77777777" w:rsidR="009F48ED" w:rsidRPr="00CE71E5" w:rsidRDefault="009F48ED" w:rsidP="009F48ED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 xml:space="preserve">Applicable Regulations. </w:t>
      </w:r>
      <w:r>
        <w:t>Except as provided by the adopted regulating ordinance for a NCCD Zone, the use and development regulations under this Title shall apply to the adoption of Neighborhood Conservation Combining Districts established after the effective date hereof.</w:t>
      </w:r>
      <w:r>
        <w:tab/>
      </w:r>
    </w:p>
    <w:p w14:paraId="02843082" w14:textId="77777777" w:rsidR="00CE71E5" w:rsidRDefault="00CE71E5" w:rsidP="00CE71E5">
      <w:pPr>
        <w:rPr>
          <w:b/>
        </w:rPr>
      </w:pPr>
    </w:p>
    <w:p w14:paraId="2445A081" w14:textId="77777777" w:rsidR="00CE71E5" w:rsidRDefault="00CE71E5" w:rsidP="00CE71E5">
      <w:pPr>
        <w:rPr>
          <w:b/>
        </w:rPr>
      </w:pPr>
      <w:r>
        <w:rPr>
          <w:b/>
        </w:rPr>
        <w:t>Respectfully submitted by Mary Ingle</w:t>
      </w:r>
    </w:p>
    <w:p w14:paraId="1E2B2DF7" w14:textId="77777777" w:rsidR="00CE71E5" w:rsidRDefault="00CE71E5" w:rsidP="00CE71E5">
      <w:pPr>
        <w:rPr>
          <w:b/>
        </w:rPr>
      </w:pPr>
      <w:r>
        <w:rPr>
          <w:b/>
        </w:rPr>
        <w:t xml:space="preserve">Reviewed by Tracy Witte, Lorre </w:t>
      </w:r>
      <w:proofErr w:type="spellStart"/>
      <w:r>
        <w:rPr>
          <w:b/>
        </w:rPr>
        <w:t>Wiedlich</w:t>
      </w:r>
      <w:proofErr w:type="spellEnd"/>
      <w:r>
        <w:rPr>
          <w:b/>
        </w:rPr>
        <w:t>, David Conner, Claudette Lowe, Karen McGraw, and Mary Ingle.</w:t>
      </w:r>
    </w:p>
    <w:p w14:paraId="798F1094" w14:textId="77777777" w:rsidR="00CE71E5" w:rsidRPr="00CE71E5" w:rsidRDefault="00CE71E5" w:rsidP="00CE71E5">
      <w:pPr>
        <w:rPr>
          <w:b/>
        </w:rPr>
      </w:pPr>
      <w:r>
        <w:rPr>
          <w:b/>
        </w:rPr>
        <w:t xml:space="preserve">Drafted by Robert </w:t>
      </w:r>
      <w:proofErr w:type="spellStart"/>
      <w:r>
        <w:rPr>
          <w:b/>
        </w:rPr>
        <w:t>Levinski</w:t>
      </w:r>
      <w:proofErr w:type="spellEnd"/>
    </w:p>
    <w:p w14:paraId="007BF249" w14:textId="77777777" w:rsidR="009F48ED" w:rsidRPr="009F48ED" w:rsidRDefault="009F48ED" w:rsidP="009F48ED">
      <w:pPr>
        <w:rPr>
          <w:b/>
        </w:rPr>
      </w:pPr>
    </w:p>
    <w:p w14:paraId="2E0A7904" w14:textId="77777777" w:rsidR="004D2AA6" w:rsidRPr="00841E25" w:rsidRDefault="004D2AA6" w:rsidP="00841E25"/>
    <w:sectPr w:rsidR="004D2AA6" w:rsidRPr="00841E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7393D"/>
    <w:multiLevelType w:val="hybridMultilevel"/>
    <w:tmpl w:val="D4CC1A20"/>
    <w:lvl w:ilvl="0" w:tplc="ACE6A46E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187233"/>
    <w:multiLevelType w:val="hybridMultilevel"/>
    <w:tmpl w:val="F6D62B86"/>
    <w:lvl w:ilvl="0" w:tplc="480A2D4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124367B"/>
    <w:multiLevelType w:val="hybridMultilevel"/>
    <w:tmpl w:val="E3B05AF2"/>
    <w:lvl w:ilvl="0" w:tplc="870C56A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1F24C07"/>
    <w:multiLevelType w:val="hybridMultilevel"/>
    <w:tmpl w:val="04D49A5E"/>
    <w:lvl w:ilvl="0" w:tplc="72E2D9C6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132C71"/>
    <w:multiLevelType w:val="hybridMultilevel"/>
    <w:tmpl w:val="96B63F8C"/>
    <w:lvl w:ilvl="0" w:tplc="9620C86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F52820"/>
    <w:multiLevelType w:val="hybridMultilevel"/>
    <w:tmpl w:val="07F6A61C"/>
    <w:lvl w:ilvl="0" w:tplc="587AABD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6B05707"/>
    <w:multiLevelType w:val="hybridMultilevel"/>
    <w:tmpl w:val="05C84156"/>
    <w:lvl w:ilvl="0" w:tplc="A6A803D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D764395"/>
    <w:multiLevelType w:val="hybridMultilevel"/>
    <w:tmpl w:val="FBDCC314"/>
    <w:lvl w:ilvl="0" w:tplc="CA4662C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6EB1FBB"/>
    <w:multiLevelType w:val="hybridMultilevel"/>
    <w:tmpl w:val="6786FBAE"/>
    <w:lvl w:ilvl="0" w:tplc="E99CA4D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C15005"/>
    <w:multiLevelType w:val="hybridMultilevel"/>
    <w:tmpl w:val="1CECD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72113"/>
    <w:multiLevelType w:val="hybridMultilevel"/>
    <w:tmpl w:val="08565026"/>
    <w:lvl w:ilvl="0" w:tplc="D61EDFC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56686F"/>
    <w:multiLevelType w:val="hybridMultilevel"/>
    <w:tmpl w:val="AAFAC1BA"/>
    <w:lvl w:ilvl="0" w:tplc="5E08AC6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20529F"/>
    <w:multiLevelType w:val="hybridMultilevel"/>
    <w:tmpl w:val="96DC0D94"/>
    <w:lvl w:ilvl="0" w:tplc="62086CB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7"/>
  </w:num>
  <w:num w:numId="5">
    <w:abstractNumId w:val="12"/>
  </w:num>
  <w:num w:numId="6">
    <w:abstractNumId w:val="11"/>
  </w:num>
  <w:num w:numId="7">
    <w:abstractNumId w:val="2"/>
  </w:num>
  <w:num w:numId="8">
    <w:abstractNumId w:val="1"/>
  </w:num>
  <w:num w:numId="9">
    <w:abstractNumId w:val="5"/>
  </w:num>
  <w:num w:numId="10">
    <w:abstractNumId w:val="6"/>
  </w:num>
  <w:num w:numId="11">
    <w:abstractNumId w:val="4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A6"/>
    <w:rsid w:val="0004061E"/>
    <w:rsid w:val="000E6314"/>
    <w:rsid w:val="001A5328"/>
    <w:rsid w:val="001D5F48"/>
    <w:rsid w:val="002F5582"/>
    <w:rsid w:val="004D2AA6"/>
    <w:rsid w:val="00634FC4"/>
    <w:rsid w:val="007E740F"/>
    <w:rsid w:val="00841E25"/>
    <w:rsid w:val="00857F46"/>
    <w:rsid w:val="009F48ED"/>
    <w:rsid w:val="00AC6D9F"/>
    <w:rsid w:val="00AD032C"/>
    <w:rsid w:val="00AE33D3"/>
    <w:rsid w:val="00B6199D"/>
    <w:rsid w:val="00B63AC4"/>
    <w:rsid w:val="00B703F6"/>
    <w:rsid w:val="00BA0107"/>
    <w:rsid w:val="00BA7DE6"/>
    <w:rsid w:val="00BB4944"/>
    <w:rsid w:val="00C50B21"/>
    <w:rsid w:val="00C9015E"/>
    <w:rsid w:val="00CB5943"/>
    <w:rsid w:val="00CE71E5"/>
    <w:rsid w:val="00D7646E"/>
    <w:rsid w:val="00EB28A6"/>
    <w:rsid w:val="00F503BF"/>
    <w:rsid w:val="00F92897"/>
    <w:rsid w:val="00F939FE"/>
    <w:rsid w:val="00F9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A0F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3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1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E25"/>
    <w:rPr>
      <w:rFonts w:ascii="Tahoma" w:hAnsi="Tahoma" w:cs="Tahoma"/>
      <w:sz w:val="16"/>
      <w:szCs w:val="16"/>
    </w:rPr>
  </w:style>
  <w:style w:type="paragraph" w:customStyle="1" w:styleId="list0">
    <w:name w:val="list0"/>
    <w:basedOn w:val="Normal"/>
    <w:next w:val="Normal"/>
    <w:qFormat/>
    <w:rsid w:val="001D5F48"/>
    <w:pPr>
      <w:spacing w:after="120" w:line="240" w:lineRule="auto"/>
      <w:ind w:left="432" w:hanging="432"/>
      <w:jc w:val="both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541</Words>
  <Characters>3090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</dc:creator>
  <cp:lastModifiedBy>casamia22@att.net</cp:lastModifiedBy>
  <cp:revision>2</cp:revision>
  <dcterms:created xsi:type="dcterms:W3CDTF">2018-04-24T21:21:00Z</dcterms:created>
  <dcterms:modified xsi:type="dcterms:W3CDTF">2018-04-24T21:21:00Z</dcterms:modified>
</cp:coreProperties>
</file>